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3BD" w:rsidRPr="002703BD" w:rsidRDefault="002703BD" w:rsidP="002703BD">
      <w:pPr>
        <w:jc w:val="both"/>
        <w:rPr>
          <w:rFonts w:ascii="Arial" w:hAnsi="Arial" w:cs="Arial"/>
          <w:b/>
          <w:sz w:val="26"/>
        </w:rPr>
      </w:pPr>
      <w:bookmarkStart w:id="0" w:name="_GoBack"/>
      <w:bookmarkEnd w:id="0"/>
      <w:r w:rsidRPr="002703BD">
        <w:rPr>
          <w:rFonts w:ascii="Arial" w:hAnsi="Arial" w:cs="Arial"/>
          <w:b/>
          <w:sz w:val="26"/>
        </w:rPr>
        <w:t xml:space="preserve">Análisis de Dominancia del uso de suelo y vegetación del Estado de Jalisco </w:t>
      </w:r>
    </w:p>
    <w:p w:rsidR="002703BD" w:rsidRPr="002703BD" w:rsidRDefault="002703BD" w:rsidP="002703BD">
      <w:pPr>
        <w:pStyle w:val="NormalWeb"/>
        <w:spacing w:before="0" w:beforeAutospacing="0" w:after="0" w:afterAutospacing="0"/>
        <w:ind w:right="113"/>
        <w:jc w:val="both"/>
        <w:rPr>
          <w:rFonts w:ascii="Arial" w:eastAsia="Nutmeg" w:hAnsi="Arial" w:cs="Arial"/>
          <w:szCs w:val="22"/>
          <w:lang w:bidi="es-ES"/>
        </w:rPr>
      </w:pPr>
    </w:p>
    <w:p w:rsidR="002703BD" w:rsidRDefault="002703BD" w:rsidP="002703BD">
      <w:pPr>
        <w:pStyle w:val="NormalWeb"/>
        <w:spacing w:before="0" w:beforeAutospacing="0" w:after="0" w:afterAutospacing="0"/>
        <w:ind w:right="113"/>
        <w:jc w:val="both"/>
        <w:rPr>
          <w:rFonts w:ascii="Arial" w:eastAsia="Nutmeg" w:hAnsi="Arial" w:cs="Arial"/>
          <w:szCs w:val="22"/>
          <w:lang w:bidi="es-ES"/>
        </w:rPr>
      </w:pPr>
      <w:r w:rsidRPr="002703BD">
        <w:rPr>
          <w:rFonts w:ascii="Arial" w:eastAsia="Nutmeg" w:hAnsi="Arial" w:cs="Arial"/>
          <w:szCs w:val="22"/>
          <w:lang w:bidi="es-ES"/>
        </w:rPr>
        <w:t xml:space="preserve">En el marco del Día Internacional de la Diversidad Biológica, el Instituto de Información Estadística y Geográfica (IIEG), a partir de la información vectorial de la carta de uso de suelo y vegetación, serie VI edición 2016 del INEGI, realizó el análisis de la </w:t>
      </w:r>
      <w:r>
        <w:rPr>
          <w:rFonts w:ascii="Arial" w:eastAsia="Nutmeg" w:hAnsi="Arial" w:cs="Arial"/>
          <w:szCs w:val="22"/>
          <w:lang w:bidi="es-ES"/>
        </w:rPr>
        <w:t>d</w:t>
      </w:r>
      <w:r w:rsidRPr="002703BD">
        <w:rPr>
          <w:rFonts w:ascii="Arial" w:eastAsia="Nutmeg" w:hAnsi="Arial" w:cs="Arial"/>
          <w:szCs w:val="22"/>
          <w:lang w:bidi="es-ES"/>
        </w:rPr>
        <w:t>ominancia de usos de suelo en Jalisco, con el fin de conocer cuáles son las coberturas dominantes y la diversidad conforme al índice de Simpson.</w:t>
      </w:r>
    </w:p>
    <w:p w:rsidR="002703BD" w:rsidRDefault="002703BD" w:rsidP="002703BD">
      <w:pPr>
        <w:pStyle w:val="NormalWeb"/>
        <w:spacing w:before="0" w:beforeAutospacing="0" w:after="0" w:afterAutospacing="0"/>
        <w:ind w:right="113"/>
        <w:jc w:val="both"/>
        <w:rPr>
          <w:rFonts w:ascii="Arial" w:eastAsia="Nutmeg" w:hAnsi="Arial" w:cs="Arial"/>
          <w:szCs w:val="22"/>
          <w:lang w:bidi="es-ES"/>
        </w:rPr>
      </w:pPr>
    </w:p>
    <w:p w:rsidR="002703BD" w:rsidRDefault="002703BD" w:rsidP="002703BD">
      <w:pPr>
        <w:pStyle w:val="NormalWeb"/>
        <w:spacing w:before="0" w:beforeAutospacing="0" w:after="0" w:afterAutospacing="0"/>
        <w:ind w:right="113"/>
        <w:jc w:val="both"/>
        <w:rPr>
          <w:rFonts w:ascii="Arial" w:eastAsia="Nutmeg" w:hAnsi="Arial" w:cs="Arial"/>
          <w:szCs w:val="22"/>
          <w:lang w:bidi="es-ES"/>
        </w:rPr>
      </w:pPr>
      <w:r w:rsidRPr="002703BD">
        <w:rPr>
          <w:rFonts w:ascii="Arial" w:eastAsia="Nutmeg" w:hAnsi="Arial" w:cs="Arial"/>
          <w:szCs w:val="22"/>
          <w:lang w:bidi="es-ES"/>
        </w:rPr>
        <w:t>De este análisis se tiene identificado que en Jalisco hay 77 coberturas de usos de suelo y vegetación, lo que representa un índice de diversidad de 0.92, es decir, se tiene diversidad alta porque se acerca más a 1, por el contrario, si el valor se acercara más a 0 se tendría una menor diversidad.</w:t>
      </w:r>
    </w:p>
    <w:p w:rsidR="002703BD" w:rsidRPr="002703BD" w:rsidRDefault="002703BD" w:rsidP="002703BD">
      <w:pPr>
        <w:pStyle w:val="NormalWeb"/>
        <w:spacing w:before="0" w:beforeAutospacing="0" w:after="0" w:afterAutospacing="0"/>
        <w:ind w:right="113" w:firstLine="720"/>
        <w:jc w:val="both"/>
        <w:rPr>
          <w:rFonts w:ascii="Arial" w:eastAsia="Nutmeg" w:hAnsi="Arial" w:cs="Arial"/>
          <w:szCs w:val="22"/>
          <w:lang w:bidi="es-ES"/>
        </w:rPr>
      </w:pPr>
    </w:p>
    <w:p w:rsidR="002703BD" w:rsidRDefault="002703BD" w:rsidP="002703BD">
      <w:pPr>
        <w:pStyle w:val="NormalWeb"/>
        <w:spacing w:before="0" w:beforeAutospacing="0" w:after="0" w:afterAutospacing="0"/>
        <w:ind w:right="113"/>
        <w:jc w:val="both"/>
        <w:rPr>
          <w:rFonts w:ascii="Arial" w:eastAsia="Nutmeg" w:hAnsi="Arial" w:cs="Arial"/>
          <w:szCs w:val="22"/>
          <w:lang w:bidi="es-ES"/>
        </w:rPr>
      </w:pPr>
      <w:r w:rsidRPr="002703BD">
        <w:rPr>
          <w:rFonts w:ascii="Arial" w:eastAsia="Nutmeg" w:hAnsi="Arial" w:cs="Arial"/>
          <w:szCs w:val="22"/>
          <w:lang w:bidi="es-ES"/>
        </w:rPr>
        <w:t xml:space="preserve">Particularmente, se midió la dominancia para identificar las coberturas más representativa, las que tienen una menor superficie en el territorio y el análisis de algunas coberturas específicas que van más relacionadas al medio ambiente. Para apoyar más a la visualización de esta información, se clasificó la dominancia como muy alto, alto, medio, bajo y muy bajo. </w:t>
      </w:r>
    </w:p>
    <w:p w:rsidR="002703BD" w:rsidRPr="002703BD" w:rsidRDefault="002703BD" w:rsidP="002703BD">
      <w:pPr>
        <w:pStyle w:val="NormalWeb"/>
        <w:spacing w:before="0" w:beforeAutospacing="0" w:after="0" w:afterAutospacing="0"/>
        <w:ind w:right="113" w:firstLine="720"/>
        <w:jc w:val="both"/>
        <w:rPr>
          <w:rFonts w:ascii="Arial" w:eastAsia="Nutmeg" w:hAnsi="Arial" w:cs="Arial"/>
          <w:szCs w:val="22"/>
          <w:lang w:bidi="es-ES"/>
        </w:rPr>
      </w:pPr>
    </w:p>
    <w:p w:rsidR="002703BD" w:rsidRDefault="002703BD" w:rsidP="002703BD">
      <w:pPr>
        <w:pStyle w:val="NormalWeb"/>
        <w:spacing w:before="0" w:beforeAutospacing="0" w:after="0" w:afterAutospacing="0"/>
        <w:ind w:right="113"/>
        <w:jc w:val="both"/>
        <w:rPr>
          <w:rFonts w:ascii="Arial" w:eastAsia="Nutmeg" w:hAnsi="Arial" w:cs="Arial"/>
          <w:szCs w:val="22"/>
          <w:lang w:bidi="es-ES"/>
        </w:rPr>
      </w:pPr>
      <w:r w:rsidRPr="002703BD">
        <w:rPr>
          <w:rFonts w:ascii="Arial" w:eastAsia="Nutmeg" w:hAnsi="Arial" w:cs="Arial"/>
          <w:szCs w:val="22"/>
          <w:lang w:bidi="es-ES"/>
        </w:rPr>
        <w:t xml:space="preserve">Conforme a la clasificación de dominancia, se sumaron las coberturas localizadas en cada rango, tanto número de coberturas, superficie en hectáreas y el porcentaje que representa esta superficie dentro del estado. </w:t>
      </w:r>
    </w:p>
    <w:p w:rsidR="002703BD" w:rsidRPr="002703BD" w:rsidRDefault="002703BD" w:rsidP="002703BD">
      <w:pPr>
        <w:pStyle w:val="NormalWeb"/>
        <w:spacing w:before="0" w:beforeAutospacing="0" w:after="0" w:afterAutospacing="0"/>
        <w:ind w:right="113"/>
        <w:jc w:val="both"/>
        <w:rPr>
          <w:rFonts w:ascii="Arial" w:eastAsia="Nutmeg" w:hAnsi="Arial" w:cs="Arial"/>
          <w:szCs w:val="22"/>
          <w:lang w:bidi="es-ES"/>
        </w:rPr>
      </w:pPr>
    </w:p>
    <w:p w:rsidR="002703BD" w:rsidRDefault="002703BD" w:rsidP="002703BD">
      <w:pPr>
        <w:pStyle w:val="NormalWeb"/>
        <w:spacing w:before="0" w:beforeAutospacing="0" w:after="0" w:afterAutospacing="0"/>
        <w:ind w:right="113"/>
        <w:jc w:val="both"/>
        <w:rPr>
          <w:rFonts w:ascii="Arial" w:eastAsia="Nutmeg" w:hAnsi="Arial" w:cs="Arial"/>
          <w:szCs w:val="22"/>
          <w:lang w:bidi="es-ES"/>
        </w:rPr>
      </w:pPr>
      <w:r w:rsidRPr="002703BD">
        <w:rPr>
          <w:rFonts w:ascii="Arial" w:eastAsia="Nutmeg" w:hAnsi="Arial" w:cs="Arial"/>
          <w:szCs w:val="22"/>
          <w:lang w:bidi="es-ES"/>
        </w:rPr>
        <w:t xml:space="preserve">De este análisis se tiene que, en el rango muy alto, hay 2 coberturas de uso de suelo las cuales representan el 31.06% de la superficie; en el rango alto se tienen 5 coberturas que representan el 30.45%, hay 2 coberturas clasificadas como media con un 6.95% de la superficie, 8 coberturas clasificadas como bajo que equivalen a 16.34%, y en el rango de muy bajo se tienen 60 usos de suelo y vegetación que suman un 15.20% de superficie del total del Estado (tabla 1). </w:t>
      </w:r>
    </w:p>
    <w:p w:rsidR="002703BD" w:rsidRPr="002703BD" w:rsidRDefault="002703BD" w:rsidP="002703BD">
      <w:pPr>
        <w:pStyle w:val="NormalWeb"/>
        <w:spacing w:before="0" w:beforeAutospacing="0" w:after="0" w:afterAutospacing="0"/>
        <w:ind w:right="113" w:firstLine="720"/>
        <w:jc w:val="both"/>
        <w:rPr>
          <w:rFonts w:ascii="Arial" w:eastAsia="Nutmeg" w:hAnsi="Arial" w:cs="Arial"/>
          <w:szCs w:val="22"/>
          <w:lang w:bidi="es-ES"/>
        </w:rPr>
      </w:pPr>
    </w:p>
    <w:p w:rsidR="002703BD" w:rsidRDefault="002703BD" w:rsidP="002703BD">
      <w:pPr>
        <w:pStyle w:val="NormalWeb"/>
        <w:spacing w:before="0" w:beforeAutospacing="0" w:after="0" w:afterAutospacing="0"/>
        <w:ind w:right="113"/>
        <w:jc w:val="both"/>
        <w:rPr>
          <w:rFonts w:ascii="Arial" w:eastAsia="Nutmeg" w:hAnsi="Arial" w:cs="Arial"/>
          <w:szCs w:val="22"/>
          <w:lang w:bidi="es-ES"/>
        </w:rPr>
      </w:pPr>
      <w:r w:rsidRPr="002703BD">
        <w:rPr>
          <w:rFonts w:ascii="Arial" w:eastAsia="Nutmeg" w:hAnsi="Arial" w:cs="Arial"/>
          <w:szCs w:val="22"/>
          <w:lang w:bidi="es-ES"/>
        </w:rPr>
        <w:t xml:space="preserve">En Jalisco el uso de suelo con una mayor dominancia es la agricultura de temporal anual, la cual representa un 18.66%, seguida la vegetación secundaria arbustiva de selva baja caducifolia con un 12.40%, los cuales están distribuidos en los municipios de Tepatitlán y Acatic en la región Altos Sur y Zapotlanejo en la región Centro (Imagen 1). </w:t>
      </w:r>
    </w:p>
    <w:p w:rsidR="002703BD" w:rsidRPr="002703BD" w:rsidRDefault="002703BD" w:rsidP="002703BD">
      <w:pPr>
        <w:pStyle w:val="NormalWeb"/>
        <w:spacing w:before="0" w:beforeAutospacing="0" w:after="0" w:afterAutospacing="0"/>
        <w:ind w:right="113" w:firstLine="720"/>
        <w:jc w:val="both"/>
        <w:rPr>
          <w:rFonts w:ascii="Arial" w:eastAsia="Nutmeg" w:hAnsi="Arial" w:cs="Arial"/>
          <w:szCs w:val="22"/>
          <w:lang w:bidi="es-ES"/>
        </w:rPr>
      </w:pPr>
    </w:p>
    <w:p w:rsidR="002703BD" w:rsidRDefault="002703BD" w:rsidP="002703BD">
      <w:pPr>
        <w:pStyle w:val="NormalWeb"/>
        <w:spacing w:before="0" w:beforeAutospacing="0" w:after="0" w:afterAutospacing="0"/>
        <w:ind w:right="113"/>
        <w:jc w:val="both"/>
        <w:rPr>
          <w:rFonts w:ascii="Arial" w:eastAsia="Nutmeg" w:hAnsi="Arial" w:cs="Arial"/>
          <w:szCs w:val="22"/>
          <w:lang w:bidi="es-ES"/>
        </w:rPr>
      </w:pPr>
      <w:r w:rsidRPr="002703BD">
        <w:rPr>
          <w:rFonts w:ascii="Arial" w:eastAsia="Nutmeg" w:hAnsi="Arial" w:cs="Arial"/>
          <w:szCs w:val="22"/>
          <w:lang w:bidi="es-ES"/>
        </w:rPr>
        <w:t>En la categoría de alta dominancia se tiene las comunidades vegetales naturales de vegetación secundaria arbustiva de, bosque de encino, bosque de pino y encino y selva baja caducifolia, las cuales en total representan el 24.14%. Es importante que estas coberturas sean de mayor dominancia pues son algunas coberturas que tienen una mayor importancia ecológica (tabla 1).</w:t>
      </w:r>
    </w:p>
    <w:p w:rsidR="002703BD" w:rsidRPr="002703BD" w:rsidRDefault="002703BD" w:rsidP="002703BD">
      <w:pPr>
        <w:pStyle w:val="NormalWeb"/>
        <w:spacing w:before="0" w:beforeAutospacing="0" w:after="0" w:afterAutospacing="0"/>
        <w:ind w:right="113" w:firstLine="720"/>
        <w:jc w:val="both"/>
        <w:rPr>
          <w:rFonts w:ascii="Arial" w:eastAsia="Nutmeg" w:hAnsi="Arial" w:cs="Arial"/>
          <w:szCs w:val="22"/>
          <w:lang w:bidi="es-ES"/>
        </w:rPr>
      </w:pPr>
    </w:p>
    <w:p w:rsidR="002703BD" w:rsidRPr="002703BD" w:rsidRDefault="002703BD" w:rsidP="002703BD">
      <w:pPr>
        <w:pStyle w:val="NormalWeb"/>
        <w:spacing w:before="0" w:beforeAutospacing="0" w:after="0" w:afterAutospacing="0"/>
        <w:ind w:right="113"/>
        <w:jc w:val="both"/>
        <w:rPr>
          <w:rFonts w:ascii="Arial" w:eastAsia="Nutmeg" w:hAnsi="Arial" w:cs="Arial"/>
          <w:szCs w:val="22"/>
          <w:lang w:bidi="es-ES"/>
        </w:rPr>
      </w:pPr>
      <w:r w:rsidRPr="002703BD">
        <w:rPr>
          <w:rFonts w:ascii="Arial" w:eastAsia="Nutmeg" w:hAnsi="Arial" w:cs="Arial"/>
          <w:szCs w:val="22"/>
          <w:lang w:bidi="es-ES"/>
        </w:rPr>
        <w:t xml:space="preserve">En el rango de media dominancia se tiene 2 coberturas, la vegetación secundaria arbustiva de pastizal con un 4.06% y la agricultura de riego que representa un 2.89% del territorio estatal. En Baja dominancia se tienen 8 coberturas que van desde comunidades vegetales naturales (bosque de encino –pino y vegetación secundaria, pastizal natural) que representan el 8.32%, agua con un 1.90%, áreas urbanas con </w:t>
      </w:r>
      <w:r w:rsidRPr="002703BD">
        <w:rPr>
          <w:rFonts w:ascii="Arial" w:eastAsia="Nutmeg" w:hAnsi="Arial" w:cs="Arial"/>
          <w:szCs w:val="22"/>
          <w:lang w:bidi="es-ES"/>
        </w:rPr>
        <w:lastRenderedPageBreak/>
        <w:t>1.67% y terrenos agropecuarios (pastizal cultivado y agricultura de riego anual y semipermanente) que sumados son un 4.45% (tabla 1).</w:t>
      </w:r>
    </w:p>
    <w:p w:rsidR="002703BD" w:rsidRDefault="002703BD" w:rsidP="002703BD">
      <w:pPr>
        <w:jc w:val="both"/>
        <w:rPr>
          <w:rFonts w:ascii="Arial" w:hAnsi="Arial" w:cs="Arial"/>
        </w:rPr>
      </w:pPr>
    </w:p>
    <w:p w:rsidR="002703BD" w:rsidRDefault="002703BD" w:rsidP="002703BD">
      <w:pPr>
        <w:jc w:val="both"/>
        <w:rPr>
          <w:rFonts w:ascii="Arial" w:hAnsi="Arial" w:cs="Arial"/>
        </w:rPr>
      </w:pPr>
      <w:r w:rsidRPr="002703BD">
        <w:rPr>
          <w:rFonts w:ascii="Arial" w:hAnsi="Arial" w:cs="Arial"/>
        </w:rPr>
        <w:t>En muy baja dominancia se tienen diversas coberturas (60) las cuales se concentraron en 8 grupos, para un mejor análisis. Dentro de vegetación secundaria encontramos 25 coberturas que equivalen a un 7.33% de superficie del estado, agricultura que tienes 12 tipos diferentes representan el 4.32% de superficie, seguido de bosque con 1.90% y 7 diferentes tipos de cobertura agrupadas, selva con 4 coberturas suman un 1.10%, otros usos de suelo y vegetación en donde se agruparon  8 coberturas como sabanoide, vegetación halófila, manglar, pradera de montaña, vegetación de dunas costeras, palmar, tular, vegetación de galería que representan el 0.41%, y los grupos de matorral, sin vegetación y pastizal con 0.08%, 0.06% y 0.01% respectivamente (tabla 1).</w:t>
      </w:r>
    </w:p>
    <w:p w:rsidR="002703BD" w:rsidRPr="002703BD" w:rsidRDefault="002703BD" w:rsidP="002703BD">
      <w:pPr>
        <w:jc w:val="both"/>
        <w:rPr>
          <w:rFonts w:ascii="Arial" w:hAnsi="Arial" w:cs="Arial"/>
        </w:rPr>
      </w:pPr>
    </w:p>
    <w:p w:rsidR="002703BD" w:rsidRPr="002703BD" w:rsidRDefault="002703BD" w:rsidP="002703BD">
      <w:pPr>
        <w:jc w:val="both"/>
        <w:rPr>
          <w:rFonts w:ascii="Arial" w:hAnsi="Arial" w:cs="Arial"/>
          <w:b/>
        </w:rPr>
      </w:pPr>
      <w:r w:rsidRPr="002703BD">
        <w:rPr>
          <w:rFonts w:ascii="Arial" w:hAnsi="Arial" w:cs="Arial"/>
          <w:b/>
        </w:rPr>
        <w:t>Imagen 1: Dominancia de Usos de Suelo y Vegetación</w:t>
      </w:r>
    </w:p>
    <w:p w:rsidR="002703BD" w:rsidRPr="002703BD" w:rsidRDefault="002703BD" w:rsidP="002703BD">
      <w:pPr>
        <w:keepNext/>
        <w:jc w:val="both"/>
        <w:rPr>
          <w:rFonts w:ascii="Arial" w:hAnsi="Arial" w:cs="Arial"/>
          <w:sz w:val="22"/>
        </w:rPr>
      </w:pPr>
      <w:r w:rsidRPr="002703BD">
        <w:rPr>
          <w:rFonts w:ascii="Arial" w:hAnsi="Arial" w:cs="Arial"/>
          <w:b/>
          <w:noProof/>
          <w:lang w:eastAsia="es-MX"/>
        </w:rPr>
        <w:drawing>
          <wp:inline distT="0" distB="0" distL="0" distR="0">
            <wp:extent cx="5444337" cy="5448300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07" cy="54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3BD" w:rsidRPr="002703BD" w:rsidRDefault="002703BD" w:rsidP="002703BD">
      <w:pPr>
        <w:jc w:val="both"/>
        <w:rPr>
          <w:rFonts w:ascii="Arial" w:hAnsi="Arial" w:cs="Arial"/>
        </w:rPr>
      </w:pPr>
    </w:p>
    <w:p w:rsidR="002703BD" w:rsidRDefault="002703BD" w:rsidP="002703BD">
      <w:pPr>
        <w:jc w:val="both"/>
        <w:rPr>
          <w:rFonts w:ascii="Arial" w:hAnsi="Arial" w:cs="Arial"/>
          <w:sz w:val="22"/>
        </w:rPr>
      </w:pPr>
    </w:p>
    <w:p w:rsidR="002703BD" w:rsidRPr="002703BD" w:rsidRDefault="002703BD" w:rsidP="002703BD">
      <w:pPr>
        <w:jc w:val="both"/>
        <w:rPr>
          <w:rFonts w:ascii="Arial" w:hAnsi="Arial" w:cs="Arial"/>
          <w:b/>
          <w:sz w:val="22"/>
        </w:rPr>
      </w:pPr>
      <w:r w:rsidRPr="002703BD">
        <w:rPr>
          <w:rFonts w:ascii="Arial" w:hAnsi="Arial" w:cs="Arial"/>
          <w:b/>
          <w:sz w:val="22"/>
        </w:rPr>
        <w:lastRenderedPageBreak/>
        <w:t>Tabla 1: Dominancia de Uso de Suelo y Vegetación</w:t>
      </w:r>
    </w:p>
    <w:tbl>
      <w:tblPr>
        <w:tblW w:w="97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"/>
        <w:gridCol w:w="549"/>
        <w:gridCol w:w="6280"/>
        <w:gridCol w:w="1260"/>
        <w:gridCol w:w="808"/>
      </w:tblGrid>
      <w:tr w:rsidR="002703BD" w:rsidRPr="002703BD" w:rsidTr="002703BD">
        <w:trPr>
          <w:trHeight w:val="315"/>
          <w:jc w:val="center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RANGO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NÚM.</w:t>
            </w:r>
          </w:p>
        </w:tc>
        <w:tc>
          <w:tcPr>
            <w:tcW w:w="628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USO DE SUELO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HA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%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000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ALTO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628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AGRICULTURA DE TEMPORAL ANUAL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1,497,036.55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18.6610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0000"/>
            <w:noWrap/>
            <w:vAlign w:val="bottom"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628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2703BD" w:rsidRPr="002703BD" w:rsidTr="002703BD">
        <w:trPr>
          <w:trHeight w:val="315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000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ALTO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ARBUSTIVA DE SELVA BAJA CADUCIFOLIA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994,973.58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12.4026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C00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ALTO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ARBUSTIVA DE BOSQUE DE ENCINO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522,083.66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6.5079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C00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ALTO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BOSQUE DE ENCINO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507,392.45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6.3248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C00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ALTO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PASTIZAL INDUCIDO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505,818.95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6.3052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C00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ALTO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BOSQUE DE PINO-ENCINO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487,377.43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6.0753</w:t>
            </w:r>
          </w:p>
        </w:tc>
      </w:tr>
      <w:tr w:rsidR="002703BD" w:rsidRPr="002703BD" w:rsidTr="002703BD">
        <w:trPr>
          <w:trHeight w:val="315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C00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ALTO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SELVA BAJA CADUCIFOLIA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420,027.38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5.2358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MEDIO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ARBUSTIVA DE PASTIZAL NATURAL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325,720.11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4.0602</w:t>
            </w:r>
          </w:p>
        </w:tc>
      </w:tr>
      <w:tr w:rsidR="002703BD" w:rsidRPr="002703BD" w:rsidTr="002703BD">
        <w:trPr>
          <w:trHeight w:val="315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0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MEDIO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AGRICULTURA DE RIEGO ANUAL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231,753.28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2.8889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92D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BOSQUE DE ENCINO-PINO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219,637.58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2.7378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92D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PASTIZAL CULTIVADO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215,869.26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2.6909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92D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ARBUSTIVA DE BOSQUE DE PINO-ENCINO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171,060.06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2.1323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92D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ARBUSTIVA DE SELVA MEDIANA SUBCADUCIFOLIA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154,852.37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1.9303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92D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AGUA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152,210.16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1.8973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92D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AGRICULTURA DE RIEGO ANUAL Y SEMIPERMANENTE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141,089.16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1.7587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92D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URBANO CONSTRUIDO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134,284.20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1.6739</w:t>
            </w:r>
          </w:p>
        </w:tc>
      </w:tr>
      <w:tr w:rsidR="002703BD" w:rsidRPr="002703BD" w:rsidTr="002703BD">
        <w:trPr>
          <w:trHeight w:val="315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92D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BAJO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PASTIZAL NATURAL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121,833.26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1.5187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ARBÓREA DE BOSQUE DE PINO-ENCINO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113,349.22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1.4129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ARBÓREA DE BOSQUE DE ENCINO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113,242.13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1.4116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ARBÓREA DE SELVA BAJA CADUCIFOLIA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104,891.98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1.3075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21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BOSQUE DE PINO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102,818.51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1.2817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ARBUSTIVA DE BOSQUE DE ENCINO-PINO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99,876.96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1.2450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23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AGRICULTURA DE RIEGO SEMIPERMANENTE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95,846.65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1.1948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24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SELVA MEDIANA SUBCADUCIFOLIA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85,584.01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1.0668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AGRICULTURA DE TEMPORAL ANUAL Y SEMIPERMANENTE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80,579.01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1.0044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26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AGRICULTURA DE TEMPORAL ANUAL Y PERMANENTE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46,230.57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0.5763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27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ARBÓREA DE SELVA MEDIANA SUBCADUCIFOLIA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45,366.20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0.5655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28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BOSQUE MESÓFILO DE MONTAÑA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34,604.37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0.4314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ARBUSTIVA DE BOSQUE DE PINO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27,013.60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0.3367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AGRICULTURA DE RIEGO ANUAL Y PERMANENTE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25,889.62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0.3227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31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AGRICULTURA DE TEMPORAL PERMANENTE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25,487.00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0.3177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ARBÓREA DE BOSQUE DE ENCINO-PINO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24,183.04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0.3014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33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AGRICULTURA DE RIEGO SEMIPERMANENTE Y PERMANENTE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22,495.02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0.2804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34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HERBÁCEA DE SELVA BAJA CADUCIFOLIA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16,551.96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0.2063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AGRICULTURA DE HUMEDAD ANUAL Y SEMIPERMANENTE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15,925.73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0.1985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lastRenderedPageBreak/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36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AGRICULTURA DE HUMEDAD SEMIPERMANENTE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12,982.66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0.1618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37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AGRICULTURA DE HUMEDAD ANUAL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12,556.31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0.1565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38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SABANOIDE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12,107.58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0.1509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39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ARBUSTIVA DE BOSQUE DE TÁSCATE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11,221.22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0.1399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BOSQUE DE TÁSCATE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9,031.46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0.1126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41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HALÓFILA HIDRÓFILA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8,476.88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0.1057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42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ARBUSTIVA DE BOSQUE MESÓFILO DE MONTAÑA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8,472.33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0.1056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43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ARBÓREA DE BOSQUE DE PINO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7,719.31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0.0962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44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MATORRAL CRASICAULE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6,301.83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0.0786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45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AGRICULTURA DE RIEGO PERMANENTE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6,043.55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0.0753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46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BOSQUE DE OYAMEL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4,877.57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0.0608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47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ARBUSTIVA DE MATORRAL CRASICAULE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4,232.70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0.0528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48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ARBUSTIVA DE SELVA BAJA ESPINOSA CADUCIFOLIA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3,777.35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0.0471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49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HERBÁCEA DE BOSQUE DE ENCINO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3,516.44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0.0438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MANGLAR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3,487.41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0.0435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51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PRADERA DE ALTA MONTAÑA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3,115.90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0.0388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52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SIN VEGETACIÓN APARENTE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2,894.78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0.0361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53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AGRICULTURA DE TEMPORAL SEMIPERMANENTE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2,340.02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0.0292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54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SELVA MEDIANA CADUCIFOLIA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2,152.73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0.0268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55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DE DUNAS COSTERAS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1,894.29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0.0236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56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ÁREA DESPROVISTA DE VEGETACIÓN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1,708.42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0.0213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57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PALMAR NATURAL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1,626.59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0.0203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58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ARBÓREA DE BOSQUE MESÓFILO DE MONTAÑA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1,338.78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0.0167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59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TULAR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1,308.84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0.0163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60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ARBUSTIVA DE MANGLAR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1,032.63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0.0129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61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BOSQUE DE MEZQUITE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734.53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0.0092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62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DE GALERÍA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538.10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0.0067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63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ARBUSTIVA DE SELVA MEDIANA CADUCIFOLIA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534.71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0.0067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64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PASTIZAL HALÓFILO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495.86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0.0062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65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ARBUSTIVA DE BOSQUE DE MEZQUITE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476.52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0.0059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66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ARBÓREA DE MANGLAR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439.79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0.0055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67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ARBÓREA DE BOSQUE DE TÁSCATE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288.46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0.0036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68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SELVA DE GALERÍA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271.64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0.0034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69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HERBÁCEA DE BOSQUE DE PINO-ENCINO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239.31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0.0030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70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BOSQUE CULTIVADO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207.79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0.0026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lastRenderedPageBreak/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71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BOSQUE DE GALERÍA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162.99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0.0020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72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HERBÁCEA DE BOSQUE DE ENCINO-PINO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153.08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0.0019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73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HERBÁCEA DE SELVA MEDIANA SUBCADUCIFOLIA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141.03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0.0018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74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AGRICULTURA DE TEMPORAL SEMIPERMANENTE Y PERMANENTE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130.27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0.0016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75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SELVA BAJA SUBCADUCIFOLIA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124.94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0.0016</w:t>
            </w:r>
          </w:p>
        </w:tc>
      </w:tr>
      <w:tr w:rsidR="002703BD" w:rsidRPr="002703BD" w:rsidTr="002703BD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76</w:t>
            </w:r>
          </w:p>
        </w:tc>
        <w:tc>
          <w:tcPr>
            <w:tcW w:w="628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HALÓFILA XERÓFILA</w:t>
            </w:r>
          </w:p>
        </w:tc>
        <w:tc>
          <w:tcPr>
            <w:tcW w:w="1260" w:type="dxa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87.96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0.0011</w:t>
            </w:r>
          </w:p>
        </w:tc>
      </w:tr>
      <w:tr w:rsidR="002703BD" w:rsidRPr="002703BD" w:rsidTr="002703BD">
        <w:trPr>
          <w:trHeight w:val="315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00B050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MUY BAJO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77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VEGETACIÓN SECUNDARIA HERBÁCEA DE MATORRAL SUBTROPICAL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70.77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0.0009</w:t>
            </w:r>
          </w:p>
        </w:tc>
      </w:tr>
      <w:tr w:rsidR="002703BD" w:rsidRPr="002703BD" w:rsidTr="002703BD">
        <w:trPr>
          <w:trHeight w:val="315"/>
          <w:jc w:val="center"/>
        </w:trPr>
        <w:tc>
          <w:tcPr>
            <w:tcW w:w="900" w:type="dxa"/>
            <w:shd w:val="clear" w:color="auto" w:fill="FFFFFF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40" w:type="dxa"/>
            <w:shd w:val="clear" w:color="auto" w:fill="FFFFFF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6280" w:type="dxa"/>
            <w:shd w:val="clear" w:color="auto" w:fill="FFFFFF"/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703BD" w:rsidRPr="002703BD" w:rsidRDefault="002703BD" w:rsidP="002703BD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8,022,270.38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2703BD" w:rsidRPr="002703BD" w:rsidRDefault="002703BD" w:rsidP="002703BD">
            <w:pPr>
              <w:keepNext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2703B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100.0000</w:t>
            </w:r>
          </w:p>
        </w:tc>
      </w:tr>
    </w:tbl>
    <w:p w:rsidR="00E82AFE" w:rsidRPr="002703BD" w:rsidRDefault="00E82AFE" w:rsidP="002703BD">
      <w:pPr>
        <w:jc w:val="both"/>
        <w:rPr>
          <w:rFonts w:ascii="Arial" w:hAnsi="Arial" w:cs="Arial"/>
        </w:rPr>
      </w:pPr>
    </w:p>
    <w:sectPr w:rsidR="00E82AFE" w:rsidRPr="002703BD" w:rsidSect="002703BD">
      <w:headerReference w:type="default" r:id="rId7"/>
      <w:headerReference w:type="first" r:id="rId8"/>
      <w:pgSz w:w="12240" w:h="15840"/>
      <w:pgMar w:top="1418" w:right="1134" w:bottom="1418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13D" w:rsidRDefault="00C1313D" w:rsidP="008354DA">
      <w:r>
        <w:separator/>
      </w:r>
    </w:p>
  </w:endnote>
  <w:endnote w:type="continuationSeparator" w:id="0">
    <w:p w:rsidR="00C1313D" w:rsidRDefault="00C1313D" w:rsidP="00835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tmeg">
    <w:altName w:val="Times New Roman"/>
    <w:charset w:val="00"/>
    <w:family w:val="roman"/>
    <w:pitch w:val="variable"/>
  </w:font>
  <w:font w:name="Nutmeg Book">
    <w:altName w:val="NUTMEG BOOK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13D" w:rsidRDefault="00C1313D" w:rsidP="008354DA">
      <w:r>
        <w:separator/>
      </w:r>
    </w:p>
  </w:footnote>
  <w:footnote w:type="continuationSeparator" w:id="0">
    <w:p w:rsidR="00C1313D" w:rsidRDefault="00C1313D" w:rsidP="008354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3BD" w:rsidRDefault="002703BD" w:rsidP="002703BD">
    <w:pPr>
      <w:pStyle w:val="Encabezado"/>
      <w:tabs>
        <w:tab w:val="clear" w:pos="4419"/>
        <w:tab w:val="clear" w:pos="8838"/>
        <w:tab w:val="left" w:pos="8520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766949" cy="10051200"/>
          <wp:effectExtent l="0" t="0" r="5715" b="762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49" cy="1005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2A6" w:rsidRDefault="006A3D72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4012565</wp:posOffset>
              </wp:positionH>
              <wp:positionV relativeFrom="paragraph">
                <wp:posOffset>-145415</wp:posOffset>
              </wp:positionV>
              <wp:extent cx="2330450" cy="59055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0450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A3D72" w:rsidRPr="006A3D72" w:rsidRDefault="006A3D72" w:rsidP="00963E15">
                          <w:pPr>
                            <w:snapToGrid w:val="0"/>
                            <w:spacing w:line="230" w:lineRule="exact"/>
                            <w:jc w:val="right"/>
                            <w:rPr>
                              <w:rFonts w:ascii="Nutmeg Book" w:hAnsi="Nutmeg Book"/>
                              <w:color w:val="7F7F7F" w:themeColor="text1" w:themeTint="80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15.95pt;margin-top:-11.45pt;width:183.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9DMAIAAFgEAAAOAAAAZHJzL2Uyb0RvYy54bWysVFFv2jAQfp+0/2D5fSQE6NqIUDEqpkmo&#10;rUSnPhvHJpEcn2cbEvbrd3YCZd2epr2Ys+/47u677zK/7xpFjsK6GnRBx6OUEqE5lLXeF/T7y/rT&#10;LSXOM10yBVoU9CQcvV98/DBvTS4yqECVwhIE0S5vTUEr702eJI5XomFuBEZodEqwDfN4tfuktKxF&#10;9EYlWZreJC3Y0ljgwjl8feiddBHxpRTcP0nphCeqoFibj6eN5y6cyWLO8r1lpqr5UAb7hyoaVmtM&#10;eoF6YJ6Rg63/gGpqbsGB9CMOTQJS1lzEHrCbcfqum23FjIi9IDnOXGhy/w+WPx6fLanLgmaUaNbg&#10;iFYHVlogpSBedB5IFkhqjcsxdmsw2ndfoMNhn98dPobeO2mb8ItdEfQj3acLxYhEOD5mk0k6naGL&#10;o292l87QRvjk7d/GOv9VQEOCUVCLI4zMsuPG+T70HBKSaVjXSsUxKk3agt5MEPI3D4IrjTlCD32t&#10;wfLdrhsa20F5wr4s9PJwhq9rTL5hzj8zi3rAelHj/gkPqQCTwGBRUoH9+bf3EI9jQi8lLeqroO7H&#10;gVlBifqmcYB34+k0CDJeprPPGV7stWd37dGHZgUo4TFuk+HRDPFenU1poXnFVViGrOhimmPugvqz&#10;ufK96nGVuFguYxBK0DC/0VvDA3QgLVD70r0yawb+gwYe4axElr8bQx/b0708eJB1nFEguGd14B3l&#10;G6c8rFrYj+t7jHr7ICx+AQAA//8DAFBLAwQUAAYACAAAACEA6bABBOEAAAAKAQAADwAAAGRycy9k&#10;b3ducmV2LnhtbEyPwU6DQBCG7ya+w2ZMvLULGCsgS9OQNCZGD629eFvYKRDZWWS3Lfr0jie9/ZP5&#10;8s83xXq2gzjj5HtHCuJlBAKpcaanVsHhbbtIQfigyejBESr4Qg/r8vqq0LlxF9rheR9awSXkc62g&#10;C2HMpfRNh1b7pRuReHd0k9WBx6mVZtIXLreDTKJoJa3uiS90esSqw+Zjf7IKnqvtq97ViU2/h+rp&#10;5bgZPw/v90rd3sybRxAB5/AHw68+q0PJTrU7kfFiULC6izNGFSyShAMTWZZyqBU8RDHIspD/Xyh/&#10;AAAA//8DAFBLAQItABQABgAIAAAAIQC2gziS/gAAAOEBAAATAAAAAAAAAAAAAAAAAAAAAABbQ29u&#10;dGVudF9UeXBlc10ueG1sUEsBAi0AFAAGAAgAAAAhADj9If/WAAAAlAEAAAsAAAAAAAAAAAAAAAAA&#10;LwEAAF9yZWxzLy5yZWxzUEsBAi0AFAAGAAgAAAAhAJy9z0MwAgAAWAQAAA4AAAAAAAAAAAAAAAAA&#10;LgIAAGRycy9lMm9Eb2MueG1sUEsBAi0AFAAGAAgAAAAhAOmwAQThAAAACgEAAA8AAAAAAAAAAAAA&#10;AAAAigQAAGRycy9kb3ducmV2LnhtbFBLBQYAAAAABAAEAPMAAACYBQAAAAA=&#10;" filled="f" stroked="f" strokeweight=".5pt">
              <v:textbox>
                <w:txbxContent>
                  <w:p w:rsidR="006A3D72" w:rsidRPr="006A3D72" w:rsidRDefault="006A3D72" w:rsidP="00963E15">
                    <w:pPr>
                      <w:snapToGrid w:val="0"/>
                      <w:spacing w:line="230" w:lineRule="exact"/>
                      <w:jc w:val="right"/>
                      <w:rPr>
                        <w:rFonts w:ascii="Nutmeg Book" w:hAnsi="Nutmeg Book"/>
                        <w:color w:val="7F7F7F" w:themeColor="text1" w:themeTint="80"/>
                        <w:sz w:val="18"/>
                        <w:szCs w:val="18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4DA"/>
    <w:rsid w:val="0009339B"/>
    <w:rsid w:val="002703BD"/>
    <w:rsid w:val="00332F53"/>
    <w:rsid w:val="00440E8F"/>
    <w:rsid w:val="00632F7D"/>
    <w:rsid w:val="006A2ABC"/>
    <w:rsid w:val="006A3D72"/>
    <w:rsid w:val="00730EEB"/>
    <w:rsid w:val="0079792D"/>
    <w:rsid w:val="007E62A6"/>
    <w:rsid w:val="007F0992"/>
    <w:rsid w:val="008354DA"/>
    <w:rsid w:val="00860D8D"/>
    <w:rsid w:val="009558FC"/>
    <w:rsid w:val="00957141"/>
    <w:rsid w:val="00963E15"/>
    <w:rsid w:val="009A766F"/>
    <w:rsid w:val="00A46874"/>
    <w:rsid w:val="00A91923"/>
    <w:rsid w:val="00C1313D"/>
    <w:rsid w:val="00CD0F7D"/>
    <w:rsid w:val="00D803F4"/>
    <w:rsid w:val="00E57793"/>
    <w:rsid w:val="00E82AFE"/>
    <w:rsid w:val="00EC596B"/>
    <w:rsid w:val="00F164AC"/>
    <w:rsid w:val="00F203A1"/>
    <w:rsid w:val="00F26346"/>
    <w:rsid w:val="00F53290"/>
    <w:rsid w:val="00F55845"/>
    <w:rsid w:val="00F802AC"/>
    <w:rsid w:val="00F8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FEC2955-45B8-3543-904E-F4390F545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54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54DA"/>
  </w:style>
  <w:style w:type="paragraph" w:styleId="Piedepgina">
    <w:name w:val="footer"/>
    <w:basedOn w:val="Normal"/>
    <w:link w:val="PiedepginaCar"/>
    <w:uiPriority w:val="99"/>
    <w:unhideWhenUsed/>
    <w:rsid w:val="008354D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54DA"/>
  </w:style>
  <w:style w:type="paragraph" w:styleId="NormalWeb">
    <w:name w:val="Normal (Web)"/>
    <w:basedOn w:val="Normal"/>
    <w:uiPriority w:val="99"/>
    <w:semiHidden/>
    <w:unhideWhenUsed/>
    <w:rsid w:val="00F802A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Nmerodepgina">
    <w:name w:val="page number"/>
    <w:basedOn w:val="Fuentedeprrafopredeter"/>
    <w:uiPriority w:val="99"/>
    <w:semiHidden/>
    <w:unhideWhenUsed/>
    <w:rsid w:val="00F83F18"/>
  </w:style>
  <w:style w:type="character" w:customStyle="1" w:styleId="Textodemarcadordeposicin">
    <w:name w:val="Texto de marcador de posición"/>
    <w:basedOn w:val="Fuentedeprrafopredeter"/>
    <w:uiPriority w:val="99"/>
    <w:semiHidden/>
    <w:rsid w:val="00F203A1"/>
    <w:rPr>
      <w:color w:val="8080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2703BD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0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1393</Words>
  <Characters>7667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Alejandra De La Torre Martínez</cp:lastModifiedBy>
  <cp:revision>2</cp:revision>
  <dcterms:created xsi:type="dcterms:W3CDTF">2021-05-21T20:44:00Z</dcterms:created>
  <dcterms:modified xsi:type="dcterms:W3CDTF">2021-05-21T20:44:00Z</dcterms:modified>
</cp:coreProperties>
</file>