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07" w:rsidRPr="00F35F07" w:rsidRDefault="00F35F07" w:rsidP="00F35F07">
      <w:pPr>
        <w:rPr>
          <w:b/>
          <w:sz w:val="28"/>
          <w:szCs w:val="28"/>
        </w:rPr>
      </w:pPr>
      <w:r w:rsidRPr="00494B36">
        <w:rPr>
          <w:b/>
          <w:sz w:val="28"/>
          <w:szCs w:val="28"/>
        </w:rPr>
        <w:t xml:space="preserve">CONTENIDO TÉCNICO SPRS </w:t>
      </w:r>
      <w:r>
        <w:rPr>
          <w:b/>
          <w:sz w:val="28"/>
          <w:szCs w:val="28"/>
        </w:rPr>
        <w:t>ACATIC</w:t>
      </w:r>
      <w:bookmarkStart w:id="0" w:name="_GoBack"/>
      <w:bookmarkEnd w:id="0"/>
    </w:p>
    <w:p w:rsidR="009B113D" w:rsidRDefault="009B113D" w:rsidP="00F25603">
      <w:pPr>
        <w:jc w:val="both"/>
        <w:rPr>
          <w:lang w:val="es-MX"/>
        </w:rPr>
      </w:pPr>
      <w:r>
        <w:rPr>
          <w:lang w:val="es-MX"/>
        </w:rPr>
        <w:t>“Dictam</w:t>
      </w:r>
      <w:r w:rsidR="00F35F07">
        <w:rPr>
          <w:lang w:val="es-MX"/>
        </w:rPr>
        <w:t>en de</w:t>
      </w:r>
      <w:r>
        <w:rPr>
          <w:lang w:val="es-MX"/>
        </w:rPr>
        <w:t xml:space="preserve"> factibilidad</w:t>
      </w:r>
      <w:r w:rsidR="00DB35D7">
        <w:rPr>
          <w:lang w:val="es-MX"/>
        </w:rPr>
        <w:t xml:space="preserve"> </w:t>
      </w:r>
      <w:r w:rsidRPr="006A235A">
        <w:rPr>
          <w:lang w:val="es-MX"/>
        </w:rPr>
        <w:t xml:space="preserve">del Sitio de Disposición Final que opera en </w:t>
      </w:r>
      <w:proofErr w:type="spellStart"/>
      <w:r>
        <w:rPr>
          <w:lang w:val="es-MX"/>
        </w:rPr>
        <w:t>Acatic</w:t>
      </w:r>
      <w:proofErr w:type="spellEnd"/>
      <w:r w:rsidRPr="006A235A">
        <w:rPr>
          <w:lang w:val="es-MX"/>
        </w:rPr>
        <w:t>, Jalisco</w:t>
      </w:r>
      <w:r w:rsidR="00F25603">
        <w:rPr>
          <w:lang w:val="es-MX"/>
        </w:rPr>
        <w:t>;</w:t>
      </w:r>
      <w:r w:rsidRPr="006A235A">
        <w:rPr>
          <w:lang w:val="es-MX"/>
        </w:rPr>
        <w:t xml:space="preserve"> con base a la NOM-083-SEMARNAT-2003</w:t>
      </w:r>
      <w:r>
        <w:rPr>
          <w:lang w:val="es-MX"/>
        </w:rPr>
        <w:t>”</w:t>
      </w:r>
      <w:r w:rsidR="004015EA">
        <w:rPr>
          <w:lang w:val="es-MX"/>
        </w:rPr>
        <w:t xml:space="preserve"> y una </w:t>
      </w:r>
      <w:r w:rsidR="00AB040E">
        <w:rPr>
          <w:lang w:val="es-MX"/>
        </w:rPr>
        <w:t>“</w:t>
      </w:r>
      <w:r w:rsidR="004015EA">
        <w:rPr>
          <w:lang w:val="es-MX"/>
        </w:rPr>
        <w:t>caracterización hidrogeológica, ge</w:t>
      </w:r>
      <w:r w:rsidR="00AB040E">
        <w:rPr>
          <w:lang w:val="es-MX"/>
        </w:rPr>
        <w:t>ológica y geotécnica”</w:t>
      </w:r>
      <w:r>
        <w:rPr>
          <w:lang w:val="es-MX"/>
        </w:rPr>
        <w:t xml:space="preserve">, ubicado en la </w:t>
      </w:r>
      <w:r w:rsidR="00F25603">
        <w:rPr>
          <w:lang w:val="es-MX"/>
        </w:rPr>
        <w:t xml:space="preserve">siguiente coordenada </w:t>
      </w:r>
      <w:r w:rsidR="00133576">
        <w:rPr>
          <w:lang w:val="es-MX"/>
        </w:rPr>
        <w:t xml:space="preserve">UTM </w:t>
      </w:r>
      <w:r w:rsidR="00133576" w:rsidRPr="00F25603">
        <w:rPr>
          <w:lang w:val="es-MX"/>
        </w:rPr>
        <w:t>X</w:t>
      </w:r>
      <w:r w:rsidR="00133576">
        <w:rPr>
          <w:lang w:val="es-MX"/>
        </w:rPr>
        <w:t>:</w:t>
      </w:r>
      <w:r w:rsidR="00133576" w:rsidRPr="00F25603">
        <w:rPr>
          <w:lang w:val="es-MX"/>
        </w:rPr>
        <w:t xml:space="preserve"> 719,195</w:t>
      </w:r>
      <w:r w:rsidR="00F25603">
        <w:rPr>
          <w:lang w:val="es-MX"/>
        </w:rPr>
        <w:t>,</w:t>
      </w:r>
      <w:r w:rsidR="00133576">
        <w:rPr>
          <w:lang w:val="es-MX"/>
        </w:rPr>
        <w:t xml:space="preserve"> Y: </w:t>
      </w:r>
      <w:r w:rsidR="00F25603" w:rsidRPr="00F25603">
        <w:rPr>
          <w:lang w:val="es-MX"/>
        </w:rPr>
        <w:t>2</w:t>
      </w:r>
      <w:r w:rsidR="00133576">
        <w:rPr>
          <w:lang w:val="es-MX"/>
        </w:rPr>
        <w:t>,</w:t>
      </w:r>
      <w:r w:rsidR="00F25603" w:rsidRPr="00F25603">
        <w:rPr>
          <w:lang w:val="es-MX"/>
        </w:rPr>
        <w:t>302</w:t>
      </w:r>
      <w:r w:rsidR="00F25603">
        <w:rPr>
          <w:lang w:val="es-MX"/>
        </w:rPr>
        <w:t>,</w:t>
      </w:r>
      <w:r w:rsidR="00F25603" w:rsidRPr="00F25603">
        <w:rPr>
          <w:lang w:val="es-MX"/>
        </w:rPr>
        <w:t>452</w:t>
      </w:r>
      <w:r w:rsidR="00133576">
        <w:rPr>
          <w:lang w:val="es-MX"/>
        </w:rPr>
        <w:t>, superficie= 7,645.16 mt</w:t>
      </w:r>
      <w:r w:rsidR="00133576" w:rsidRPr="00133576">
        <w:rPr>
          <w:vertAlign w:val="superscript"/>
          <w:lang w:val="es-MX"/>
        </w:rPr>
        <w:t>2</w:t>
      </w:r>
      <w:r w:rsidR="00133576">
        <w:rPr>
          <w:lang w:val="es-MX"/>
        </w:rPr>
        <w:t>.</w:t>
      </w:r>
    </w:p>
    <w:p w:rsidR="00DB35D7" w:rsidRDefault="00DB35D7" w:rsidP="00DB35D7">
      <w:pPr>
        <w:jc w:val="both"/>
        <w:rPr>
          <w:lang w:val="es-MX"/>
        </w:rPr>
      </w:pPr>
      <w:r w:rsidRPr="00DB35D7">
        <w:rPr>
          <w:lang w:val="es-MX"/>
        </w:rPr>
        <w:t xml:space="preserve">La información objeto del presente análisis técnico se refiere única y exclusivamente al cumplimiento del sitio de disposición final de residuos indicado por el municipio de </w:t>
      </w:r>
      <w:proofErr w:type="spellStart"/>
      <w:r w:rsidR="009B113D">
        <w:rPr>
          <w:lang w:val="es-MX"/>
        </w:rPr>
        <w:t>Acatic</w:t>
      </w:r>
      <w:proofErr w:type="spellEnd"/>
      <w:r w:rsidRPr="00DB35D7">
        <w:rPr>
          <w:lang w:val="es-MX"/>
        </w:rPr>
        <w:t>, respecto al punto 6.1. Restricciones para la ubicación del sitio y sus fracciones 6.1.1; 6.1.2; 6.1.3; 6.1.4; 6.1.5; 6.1.6; 6.1.7. de la NOM-083-SEMARNAT-2003.</w:t>
      </w:r>
    </w:p>
    <w:p w:rsidR="00DB35D7" w:rsidRDefault="00DB35D7" w:rsidP="00DB35D7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DB35D7">
        <w:rPr>
          <w:lang w:val="es-MX"/>
        </w:rPr>
        <w:t>El sitio analizado cumple con las disposiciones previstas en el apartado 6.1. en las siguientes fracciones:</w:t>
      </w:r>
    </w:p>
    <w:p w:rsidR="00DB35D7" w:rsidRDefault="00DB35D7" w:rsidP="00DB35D7">
      <w:pPr>
        <w:pStyle w:val="Prrafodelista"/>
        <w:ind w:left="360"/>
        <w:jc w:val="both"/>
        <w:rPr>
          <w:lang w:val="es-MX"/>
        </w:rPr>
      </w:pPr>
      <w:r w:rsidRPr="00DB35D7">
        <w:rPr>
          <w:b/>
          <w:lang w:val="es-MX"/>
        </w:rPr>
        <w:t>6.1.1.</w:t>
      </w:r>
      <w:r>
        <w:rPr>
          <w:lang w:val="es-MX"/>
        </w:rPr>
        <w:t xml:space="preserve"> </w:t>
      </w:r>
      <w:r w:rsidRPr="00DB35D7">
        <w:rPr>
          <w:lang w:val="es-MX"/>
        </w:rPr>
        <w:t>Cuando un sitio de disposición final se pretenda ubicar a una distancia menor de 13 k</w:t>
      </w:r>
      <w:r>
        <w:rPr>
          <w:lang w:val="es-MX"/>
        </w:rPr>
        <w:t>ilómetros</w:t>
      </w:r>
      <w:r w:rsidRPr="00DB35D7">
        <w:rPr>
          <w:lang w:val="es-MX"/>
        </w:rPr>
        <w:t xml:space="preserve"> del centro de las pistas de un aeródromo de servicio al público o aeropuerto, la distancia elegida se determinará mediante un estudio de riesgo aviario.</w:t>
      </w:r>
    </w:p>
    <w:p w:rsidR="00DB35D7" w:rsidRDefault="00DB35D7" w:rsidP="00DB35D7">
      <w:pPr>
        <w:pStyle w:val="Prrafodelista"/>
        <w:ind w:left="360"/>
        <w:jc w:val="both"/>
        <w:rPr>
          <w:lang w:val="es-MX"/>
        </w:rPr>
      </w:pPr>
      <w:r w:rsidRPr="00DB35D7">
        <w:rPr>
          <w:b/>
          <w:lang w:val="es-MX"/>
        </w:rPr>
        <w:t>6.1.2.</w:t>
      </w:r>
      <w:r>
        <w:rPr>
          <w:lang w:val="es-MX"/>
        </w:rPr>
        <w:t xml:space="preserve"> </w:t>
      </w:r>
      <w:r w:rsidRPr="00DB35D7">
        <w:rPr>
          <w:lang w:val="es-MX"/>
        </w:rPr>
        <w:t>No se deben ubicar sitios dentro de áreas naturales protegidas, a excepción de los sitios que estén contemplados en el Plan de manejo de éstas.</w:t>
      </w:r>
    </w:p>
    <w:p w:rsidR="00DB35D7" w:rsidRDefault="00DB35D7" w:rsidP="00DB35D7">
      <w:pPr>
        <w:pStyle w:val="Prrafodelista"/>
        <w:ind w:left="360"/>
        <w:jc w:val="both"/>
        <w:rPr>
          <w:lang w:val="es-MX"/>
        </w:rPr>
      </w:pPr>
      <w:r w:rsidRPr="00DB35D7">
        <w:rPr>
          <w:b/>
          <w:lang w:val="es-MX"/>
        </w:rPr>
        <w:t>6.1.3.</w:t>
      </w:r>
      <w:r>
        <w:rPr>
          <w:lang w:val="es-MX"/>
        </w:rPr>
        <w:t xml:space="preserve"> </w:t>
      </w:r>
      <w:r w:rsidRPr="00DB35D7">
        <w:rPr>
          <w:lang w:val="es-MX"/>
        </w:rPr>
        <w:t>En localidades mayores a 2,500 habitantes, el límite del sitio de disposición final debe de estar a una distancia mínima de 500 m (quinientos metros) contados a partir de la traza urbana existente o contemplada en el plan de desarrollo urbano.</w:t>
      </w:r>
    </w:p>
    <w:p w:rsidR="00DB35D7" w:rsidRDefault="00DB35D7" w:rsidP="00DB35D7">
      <w:pPr>
        <w:pStyle w:val="Prrafodelista"/>
        <w:ind w:left="360"/>
        <w:jc w:val="both"/>
        <w:rPr>
          <w:lang w:val="es-MX"/>
        </w:rPr>
      </w:pPr>
      <w:r w:rsidRPr="00DB35D7">
        <w:rPr>
          <w:b/>
          <w:lang w:val="es-MX"/>
        </w:rPr>
        <w:t>6.1.4</w:t>
      </w:r>
      <w:r>
        <w:rPr>
          <w:b/>
          <w:lang w:val="es-MX"/>
        </w:rPr>
        <w:t xml:space="preserve">. </w:t>
      </w:r>
      <w:r w:rsidR="00133576" w:rsidRPr="00DB35D7">
        <w:rPr>
          <w:lang w:val="es-MX"/>
        </w:rPr>
        <w:t>No debe ubicarse en zona de marismas, manglares, esteros, pantanos, humedales, estuarios, planicies aluviales, fluviales, recarga de acuíferos,</w:t>
      </w:r>
      <w:r w:rsidR="00133576">
        <w:rPr>
          <w:lang w:val="es-MX"/>
        </w:rPr>
        <w:t xml:space="preserve"> arqueológicas, </w:t>
      </w:r>
      <w:r w:rsidR="00133576" w:rsidRPr="00DB35D7">
        <w:rPr>
          <w:lang w:val="es-MX"/>
        </w:rPr>
        <w:t>ni sobre cavernas, fracturas o fallas geológicas.</w:t>
      </w:r>
    </w:p>
    <w:p w:rsidR="006154A0" w:rsidRDefault="006154A0" w:rsidP="00DB35D7">
      <w:pPr>
        <w:pStyle w:val="Prrafodelista"/>
        <w:ind w:left="360"/>
        <w:jc w:val="both"/>
        <w:rPr>
          <w:lang w:val="es-MX"/>
        </w:rPr>
      </w:pPr>
      <w:r w:rsidRPr="006154A0">
        <w:rPr>
          <w:b/>
          <w:lang w:val="es-MX"/>
        </w:rPr>
        <w:t>6.1.5.</w:t>
      </w:r>
      <w:r>
        <w:rPr>
          <w:lang w:val="es-MX"/>
        </w:rPr>
        <w:t xml:space="preserve"> </w:t>
      </w:r>
      <w:r w:rsidRPr="006154A0">
        <w:rPr>
          <w:lang w:val="es-MX"/>
        </w:rPr>
        <w:t>El sitio de disposición final se debe de ubicar fuera de zonas de inundación con periodos de retorno de 100 años</w:t>
      </w:r>
      <w:r>
        <w:rPr>
          <w:lang w:val="es-MX"/>
        </w:rPr>
        <w:t>.</w:t>
      </w:r>
    </w:p>
    <w:p w:rsidR="006154A0" w:rsidRDefault="006154A0" w:rsidP="00DB35D7">
      <w:pPr>
        <w:pStyle w:val="Prrafodelista"/>
        <w:ind w:left="360"/>
        <w:jc w:val="both"/>
        <w:rPr>
          <w:lang w:val="es-MX"/>
        </w:rPr>
      </w:pPr>
      <w:r w:rsidRPr="006154A0">
        <w:rPr>
          <w:b/>
          <w:lang w:val="es-MX"/>
        </w:rPr>
        <w:t>6.1.6.</w:t>
      </w:r>
      <w:r>
        <w:rPr>
          <w:lang w:val="es-MX"/>
        </w:rPr>
        <w:t xml:space="preserve"> </w:t>
      </w:r>
      <w:r w:rsidRPr="006154A0">
        <w:rPr>
          <w:lang w:val="es-MX"/>
        </w:rPr>
        <w:t>La distancia de ubicación del sitio de disposición final con respecto a los cuerpos de agua de caudal continuo, lagos y lagunas deberá ser de cuando menos 500 m</w:t>
      </w:r>
      <w:r>
        <w:rPr>
          <w:lang w:val="es-MX"/>
        </w:rPr>
        <w:t>etros</w:t>
      </w:r>
      <w:r w:rsidRPr="006154A0">
        <w:rPr>
          <w:lang w:val="es-MX"/>
        </w:rPr>
        <w:t>.</w:t>
      </w:r>
    </w:p>
    <w:p w:rsidR="006154A0" w:rsidRDefault="006154A0" w:rsidP="00DB35D7">
      <w:pPr>
        <w:pStyle w:val="Prrafodelista"/>
        <w:ind w:left="360"/>
        <w:jc w:val="both"/>
        <w:rPr>
          <w:lang w:val="es-MX"/>
        </w:rPr>
      </w:pPr>
    </w:p>
    <w:p w:rsidR="00133576" w:rsidRDefault="006154A0" w:rsidP="00133576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6154A0">
        <w:rPr>
          <w:lang w:val="es-MX"/>
        </w:rPr>
        <w:t xml:space="preserve">El sitio analizado </w:t>
      </w:r>
      <w:r w:rsidRPr="006154A0">
        <w:rPr>
          <w:b/>
          <w:lang w:val="es-MX"/>
        </w:rPr>
        <w:t>NO cumple</w:t>
      </w:r>
      <w:r w:rsidRPr="006154A0">
        <w:rPr>
          <w:lang w:val="es-MX"/>
        </w:rPr>
        <w:t xml:space="preserve"> con las disposiciones previstas en el apartado 6.1. en la siguiente fracción:</w:t>
      </w:r>
    </w:p>
    <w:p w:rsidR="00AA5306" w:rsidRPr="00133576" w:rsidRDefault="00AA5306" w:rsidP="00133576">
      <w:pPr>
        <w:pStyle w:val="Prrafodelista"/>
        <w:ind w:left="360"/>
        <w:jc w:val="both"/>
        <w:rPr>
          <w:lang w:val="es-MX"/>
        </w:rPr>
      </w:pPr>
      <w:r w:rsidRPr="00133576">
        <w:rPr>
          <w:b/>
          <w:lang w:val="es-MX"/>
        </w:rPr>
        <w:t>6.1.</w:t>
      </w:r>
      <w:r w:rsidR="00140FBF" w:rsidRPr="00133576">
        <w:rPr>
          <w:b/>
          <w:lang w:val="es-MX"/>
        </w:rPr>
        <w:t xml:space="preserve">7. </w:t>
      </w:r>
      <w:r w:rsidR="00140FBF" w:rsidRPr="00133576">
        <w:rPr>
          <w:lang w:val="es-MX"/>
        </w:rPr>
        <w:t>La ubicación entre el sitio de disposición final y cualquier pozo de extracción de agua para uso doméstico, riego, industrial o ganadero, tanto en operación como abandonados será de 100 m adicionales a la proyección horizontal de la mayor circunferencia del cono de abatimiento. Cuando no se pueda determinar el cono de abatimiento, la distancia al pozo no será menor a 500 m (quinientos metros).</w:t>
      </w:r>
    </w:p>
    <w:p w:rsidR="00140FBF" w:rsidRDefault="00140FBF" w:rsidP="009D0DBA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es-MX"/>
        </w:rPr>
      </w:pPr>
      <w:r w:rsidRPr="00057110">
        <w:rPr>
          <w:lang w:val="es-MX"/>
        </w:rPr>
        <w:t xml:space="preserve">En un radio de 500 metros a partir del pozo de extracción de agua número </w:t>
      </w:r>
      <w:r w:rsidR="00CA7171">
        <w:rPr>
          <w:lang w:val="es-MX"/>
        </w:rPr>
        <w:t>16131</w:t>
      </w:r>
      <w:r w:rsidRPr="00057110">
        <w:rPr>
          <w:lang w:val="es-MX"/>
        </w:rPr>
        <w:t xml:space="preserve"> de </w:t>
      </w:r>
      <w:r w:rsidR="00CA7171">
        <w:rPr>
          <w:lang w:val="es-MX"/>
        </w:rPr>
        <w:t>diferentes usos</w:t>
      </w:r>
      <w:r w:rsidR="00D70F02">
        <w:rPr>
          <w:lang w:val="es-MX"/>
        </w:rPr>
        <w:t xml:space="preserve"> (</w:t>
      </w:r>
      <w:r w:rsidR="00D70F02" w:rsidRPr="00133576">
        <w:rPr>
          <w:lang w:val="es-MX"/>
        </w:rPr>
        <w:t>doméstico, riego</w:t>
      </w:r>
      <w:r w:rsidR="00D70F02">
        <w:rPr>
          <w:lang w:val="es-MX"/>
        </w:rPr>
        <w:t>, ganadero, etc.)</w:t>
      </w:r>
      <w:r w:rsidRPr="00057110">
        <w:rPr>
          <w:lang w:val="es-MX"/>
        </w:rPr>
        <w:t xml:space="preserve"> intersecta </w:t>
      </w:r>
      <w:r w:rsidR="009D0DBA">
        <w:rPr>
          <w:lang w:val="es-MX"/>
        </w:rPr>
        <w:t xml:space="preserve">en su totalidad al Sitio de Disposición Final </w:t>
      </w:r>
      <w:proofErr w:type="spellStart"/>
      <w:r w:rsidR="009D0DBA">
        <w:rPr>
          <w:lang w:val="es-MX"/>
        </w:rPr>
        <w:t>Acatic</w:t>
      </w:r>
      <w:proofErr w:type="spellEnd"/>
      <w:r w:rsidR="009D0DBA">
        <w:rPr>
          <w:lang w:val="es-MX"/>
        </w:rPr>
        <w:t xml:space="preserve"> </w:t>
      </w:r>
      <w:r w:rsidR="00057110" w:rsidRPr="00057110">
        <w:rPr>
          <w:lang w:val="es-MX"/>
        </w:rPr>
        <w:t>(</w:t>
      </w:r>
      <w:r w:rsidR="009D0DBA" w:rsidRPr="009D0DBA">
        <w:rPr>
          <w:lang w:val="es-MX"/>
        </w:rPr>
        <w:t>UTM X: 719,195, Y: 2,302,452</w:t>
      </w:r>
      <w:r w:rsidR="00057110" w:rsidRPr="00057110">
        <w:rPr>
          <w:lang w:val="es-MX"/>
        </w:rPr>
        <w:t>)</w:t>
      </w:r>
      <w:r w:rsidR="00057110">
        <w:rPr>
          <w:lang w:val="es-MX"/>
        </w:rPr>
        <w:t xml:space="preserve">. Véase figura </w:t>
      </w:r>
      <w:r w:rsidR="00B76826">
        <w:rPr>
          <w:lang w:val="es-MX"/>
        </w:rPr>
        <w:t>1</w:t>
      </w:r>
      <w:r w:rsidR="00057110">
        <w:rPr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"/>
        <w:gridCol w:w="2041"/>
        <w:gridCol w:w="1105"/>
        <w:gridCol w:w="1372"/>
        <w:gridCol w:w="1901"/>
        <w:gridCol w:w="1332"/>
      </w:tblGrid>
      <w:tr w:rsidR="003B5CBE" w:rsidRPr="00644502" w:rsidTr="003B5CBE">
        <w:trPr>
          <w:trHeight w:val="300"/>
        </w:trPr>
        <w:tc>
          <w:tcPr>
            <w:tcW w:w="1077" w:type="dxa"/>
            <w:noWrap/>
            <w:hideMark/>
          </w:tcPr>
          <w:p w:rsidR="003B5CBE" w:rsidRPr="00BC606D" w:rsidRDefault="003B5CBE" w:rsidP="0064450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 w:rsidRPr="00BC606D">
              <w:rPr>
                <w:sz w:val="18"/>
                <w:szCs w:val="18"/>
                <w:lang w:val="es-MX"/>
              </w:rPr>
              <w:t>No</w:t>
            </w:r>
          </w:p>
        </w:tc>
        <w:tc>
          <w:tcPr>
            <w:tcW w:w="2041" w:type="dxa"/>
            <w:noWrap/>
            <w:hideMark/>
          </w:tcPr>
          <w:p w:rsidR="003B5CBE" w:rsidRPr="00BC606D" w:rsidRDefault="003B5CBE" w:rsidP="0064450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 w:rsidRPr="00BC606D">
              <w:rPr>
                <w:sz w:val="18"/>
                <w:szCs w:val="18"/>
                <w:lang w:val="es-MX"/>
              </w:rPr>
              <w:t>TÍTULO</w:t>
            </w:r>
          </w:p>
        </w:tc>
        <w:tc>
          <w:tcPr>
            <w:tcW w:w="1105" w:type="dxa"/>
          </w:tcPr>
          <w:p w:rsidR="003B5CBE" w:rsidRPr="00BC606D" w:rsidRDefault="003B5CBE" w:rsidP="0064450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1372" w:type="dxa"/>
          </w:tcPr>
          <w:p w:rsidR="003B5CBE" w:rsidRPr="00BC606D" w:rsidRDefault="003B5CBE" w:rsidP="0064450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LOCALIDAD </w:t>
            </w:r>
          </w:p>
        </w:tc>
        <w:tc>
          <w:tcPr>
            <w:tcW w:w="1901" w:type="dxa"/>
            <w:noWrap/>
            <w:hideMark/>
          </w:tcPr>
          <w:p w:rsidR="003B5CBE" w:rsidRPr="00BC606D" w:rsidRDefault="003B5CBE" w:rsidP="0064450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 w:rsidRPr="00BC606D">
              <w:rPr>
                <w:sz w:val="18"/>
                <w:szCs w:val="18"/>
                <w:lang w:val="es-MX"/>
              </w:rPr>
              <w:t>USO</w:t>
            </w:r>
          </w:p>
        </w:tc>
        <w:tc>
          <w:tcPr>
            <w:tcW w:w="1332" w:type="dxa"/>
          </w:tcPr>
          <w:p w:rsidR="003B5CBE" w:rsidRPr="00BC606D" w:rsidRDefault="003B5CBE" w:rsidP="0064450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VOL_EXTm_A</w:t>
            </w:r>
            <w:proofErr w:type="spellEnd"/>
          </w:p>
        </w:tc>
      </w:tr>
      <w:tr w:rsidR="003B5CBE" w:rsidRPr="00644502" w:rsidTr="003B5CBE">
        <w:trPr>
          <w:trHeight w:val="300"/>
        </w:trPr>
        <w:tc>
          <w:tcPr>
            <w:tcW w:w="1077" w:type="dxa"/>
            <w:noWrap/>
            <w:hideMark/>
          </w:tcPr>
          <w:p w:rsidR="003B5CBE" w:rsidRPr="00644502" w:rsidRDefault="003B5CBE" w:rsidP="003B5CB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 w:rsidRPr="003B5CBE">
              <w:rPr>
                <w:sz w:val="18"/>
                <w:szCs w:val="18"/>
                <w:lang w:val="es-MX"/>
              </w:rPr>
              <w:t>16131</w:t>
            </w:r>
          </w:p>
        </w:tc>
        <w:tc>
          <w:tcPr>
            <w:tcW w:w="2041" w:type="dxa"/>
            <w:noWrap/>
            <w:hideMark/>
          </w:tcPr>
          <w:p w:rsidR="003B5CBE" w:rsidRPr="00644502" w:rsidRDefault="003B5CBE" w:rsidP="0064450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18"/>
                <w:szCs w:val="18"/>
                <w:lang w:val="es-MX"/>
              </w:rPr>
            </w:pPr>
            <w:r w:rsidRPr="003B5CBE">
              <w:rPr>
                <w:sz w:val="18"/>
                <w:szCs w:val="18"/>
                <w:lang w:val="es-MX"/>
              </w:rPr>
              <w:t>08JAL130250/12IMOC07</w:t>
            </w:r>
          </w:p>
        </w:tc>
        <w:tc>
          <w:tcPr>
            <w:tcW w:w="1105" w:type="dxa"/>
          </w:tcPr>
          <w:p w:rsidR="003B5CBE" w:rsidRPr="00644502" w:rsidRDefault="003B5CBE" w:rsidP="003B5CB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ACATIC</w:t>
            </w:r>
          </w:p>
        </w:tc>
        <w:tc>
          <w:tcPr>
            <w:tcW w:w="1372" w:type="dxa"/>
          </w:tcPr>
          <w:p w:rsidR="003B5CBE" w:rsidRPr="00644502" w:rsidRDefault="003B5CBE" w:rsidP="003B5CB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 w:rsidRPr="003B5CBE">
              <w:rPr>
                <w:sz w:val="18"/>
                <w:szCs w:val="18"/>
                <w:lang w:val="es-MX"/>
              </w:rPr>
              <w:t>RANCHO NUEVO</w:t>
            </w:r>
          </w:p>
        </w:tc>
        <w:tc>
          <w:tcPr>
            <w:tcW w:w="1901" w:type="dxa"/>
            <w:noWrap/>
            <w:hideMark/>
          </w:tcPr>
          <w:p w:rsidR="003B5CBE" w:rsidRPr="00644502" w:rsidRDefault="003B5CBE" w:rsidP="003B5CB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DIFERENTES USO</w:t>
            </w:r>
          </w:p>
        </w:tc>
        <w:tc>
          <w:tcPr>
            <w:tcW w:w="1332" w:type="dxa"/>
          </w:tcPr>
          <w:p w:rsidR="003B5CBE" w:rsidRDefault="00CA7171" w:rsidP="003B5CB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  <w:lang w:val="es-MX"/>
              </w:rPr>
            </w:pPr>
            <w:r w:rsidRPr="00CA7171">
              <w:rPr>
                <w:sz w:val="18"/>
                <w:szCs w:val="18"/>
                <w:lang w:val="es-MX"/>
              </w:rPr>
              <w:t>181</w:t>
            </w:r>
            <w:r>
              <w:rPr>
                <w:sz w:val="18"/>
                <w:szCs w:val="18"/>
                <w:lang w:val="es-MX"/>
              </w:rPr>
              <w:t>,</w:t>
            </w:r>
            <w:r w:rsidRPr="00CA7171">
              <w:rPr>
                <w:sz w:val="18"/>
                <w:szCs w:val="18"/>
                <w:lang w:val="es-MX"/>
              </w:rPr>
              <w:t>825</w:t>
            </w:r>
          </w:p>
        </w:tc>
      </w:tr>
    </w:tbl>
    <w:p w:rsidR="00644502" w:rsidRPr="00504501" w:rsidRDefault="00BC606D" w:rsidP="00BC606D">
      <w:pPr>
        <w:shd w:val="clear" w:color="auto" w:fill="FFFFFF"/>
        <w:spacing w:before="100" w:beforeAutospacing="1" w:after="100" w:afterAutospacing="1" w:line="240" w:lineRule="auto"/>
        <w:jc w:val="center"/>
        <w:rPr>
          <w:sz w:val="18"/>
          <w:szCs w:val="18"/>
          <w:lang w:val="es-MX"/>
        </w:rPr>
      </w:pPr>
      <w:r w:rsidRPr="00504501">
        <w:rPr>
          <w:sz w:val="18"/>
          <w:szCs w:val="18"/>
          <w:lang w:val="es-MX"/>
        </w:rPr>
        <w:t>Tabla. Descripción del pozo de extracción de agua, Registro Público de Derechos de Agua (REPDA), Conagua 2013.</w:t>
      </w:r>
    </w:p>
    <w:p w:rsidR="00504501" w:rsidRDefault="00504501" w:rsidP="00504501">
      <w:pPr>
        <w:pStyle w:val="Prrafodelista"/>
        <w:ind w:left="360"/>
        <w:jc w:val="both"/>
        <w:rPr>
          <w:lang w:val="es-MX"/>
        </w:rPr>
      </w:pPr>
      <w:r w:rsidRPr="00290E92">
        <w:rPr>
          <w:lang w:val="es-MX"/>
        </w:rPr>
        <w:lastRenderedPageBreak/>
        <w:t>Las</w:t>
      </w:r>
      <w:r>
        <w:rPr>
          <w:lang w:val="es-MX"/>
        </w:rPr>
        <w:t xml:space="preserve"> variables restrictivas y fuentes de información consultadas que se incluyeron en el estudio del Sitio son:</w:t>
      </w:r>
    </w:p>
    <w:p w:rsidR="00504501" w:rsidRPr="00290E92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290E92">
        <w:rPr>
          <w:lang w:val="es-MX"/>
        </w:rPr>
        <w:t>Pozo de agua: Registro Público de Derechos</w:t>
      </w:r>
      <w:r>
        <w:rPr>
          <w:lang w:val="es-MX"/>
        </w:rPr>
        <w:t xml:space="preserve"> de Agua (REPDA), CONAGUA 2013.</w:t>
      </w:r>
    </w:p>
    <w:p w:rsidR="00504501" w:rsidRPr="00290E92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290E92">
        <w:rPr>
          <w:lang w:val="es-MX"/>
        </w:rPr>
        <w:t>Área urbana, Localidad: Localidades urba</w:t>
      </w:r>
      <w:r>
        <w:rPr>
          <w:lang w:val="es-MX"/>
        </w:rPr>
        <w:t>nas y rurales, INEGI 2014-2015.</w:t>
      </w:r>
    </w:p>
    <w:p w:rsidR="00504501" w:rsidRPr="00290E92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290E92">
        <w:rPr>
          <w:lang w:val="es-MX"/>
        </w:rPr>
        <w:t>Río perenne y Cuerpo de agua: Red Hidrográfica esc</w:t>
      </w:r>
      <w:r>
        <w:rPr>
          <w:lang w:val="es-MX"/>
        </w:rPr>
        <w:t>ala 1:50 000 edición 2.0, INEGI</w:t>
      </w:r>
    </w:p>
    <w:p w:rsidR="00504501" w:rsidRPr="00290E92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290E92">
        <w:rPr>
          <w:lang w:val="es-MX"/>
        </w:rPr>
        <w:t>Uso de suelo: Carta temática de uso de suelo serie V, INEGI 2013.</w:t>
      </w:r>
    </w:p>
    <w:p w:rsidR="00504501" w:rsidRPr="009D00CF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9D00CF">
        <w:rPr>
          <w:lang w:val="es-MX"/>
        </w:rPr>
        <w:t xml:space="preserve">Recarga acuíferos, planicies aluviales y sistema fluvial: Carta </w:t>
      </w:r>
      <w:proofErr w:type="spellStart"/>
      <w:r w:rsidRPr="009D00CF">
        <w:rPr>
          <w:lang w:val="es-MX"/>
        </w:rPr>
        <w:t>GeoAmbiental</w:t>
      </w:r>
      <w:proofErr w:type="spellEnd"/>
      <w:r w:rsidRPr="009D00CF">
        <w:rPr>
          <w:lang w:val="es-MX"/>
        </w:rPr>
        <w:t>, IITEJ 2001.</w:t>
      </w:r>
      <w:r>
        <w:rPr>
          <w:lang w:val="es-MX"/>
        </w:rPr>
        <w:t xml:space="preserve"> </w:t>
      </w:r>
      <w:r w:rsidRPr="009D00CF">
        <w:rPr>
          <w:lang w:val="es-MX"/>
        </w:rPr>
        <w:t>Sitio arqueológico: Catálogo de sitios arqueológicos en el estado de Jalisco, INAH.</w:t>
      </w:r>
      <w:r>
        <w:rPr>
          <w:lang w:val="es-MX"/>
        </w:rPr>
        <w:t xml:space="preserve"> </w:t>
      </w:r>
      <w:r w:rsidRPr="009D00CF">
        <w:rPr>
          <w:lang w:val="es-MX"/>
        </w:rPr>
        <w:t>Humedales: Caracterización de humedales mayores a 10 hectáreas, IITEJ 2013.</w:t>
      </w:r>
    </w:p>
    <w:p w:rsidR="00504501" w:rsidRPr="00290E92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290E92">
        <w:rPr>
          <w:lang w:val="es-MX"/>
        </w:rPr>
        <w:t xml:space="preserve">Fallas y fracturas: Conjunto vectorial de la carta geológica escala 1:50 000, INEGI. </w:t>
      </w:r>
    </w:p>
    <w:p w:rsidR="00504501" w:rsidRPr="00290E92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290E92">
        <w:rPr>
          <w:lang w:val="es-MX"/>
        </w:rPr>
        <w:t>Zonas de Inundaciones</w:t>
      </w:r>
      <w:r>
        <w:rPr>
          <w:lang w:val="es-MX"/>
        </w:rPr>
        <w:t xml:space="preserve"> y peligros geológicos</w:t>
      </w:r>
      <w:r w:rsidRPr="00290E92">
        <w:rPr>
          <w:lang w:val="es-MX"/>
        </w:rPr>
        <w:t xml:space="preserve">: inventario de peligros, Unidad Estatal de Protección Civil y Bomberos Jalisco, 2013. </w:t>
      </w:r>
    </w:p>
    <w:p w:rsidR="00504501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290E92">
        <w:rPr>
          <w:lang w:val="es-MX"/>
        </w:rPr>
        <w:t>ANP: Áreas Naturales Protegidas decretadas y en estudio. SEMADET, CONANP 2015.</w:t>
      </w:r>
    </w:p>
    <w:p w:rsidR="00504501" w:rsidRPr="00504501" w:rsidRDefault="00504501" w:rsidP="00504501">
      <w:pPr>
        <w:pStyle w:val="Prrafodelista"/>
        <w:numPr>
          <w:ilvl w:val="0"/>
          <w:numId w:val="8"/>
        </w:numPr>
        <w:jc w:val="both"/>
        <w:rPr>
          <w:lang w:val="es-MX"/>
        </w:rPr>
      </w:pPr>
      <w:r w:rsidRPr="00504501">
        <w:rPr>
          <w:lang w:val="es-MX"/>
        </w:rPr>
        <w:t>Aeródromo civil: Atlas de Caminos y Carreteras del Estado de Jalisco, IITEJ 2013.</w:t>
      </w:r>
    </w:p>
    <w:p w:rsidR="00057110" w:rsidRDefault="00E67C39" w:rsidP="00504501">
      <w:pPr>
        <w:shd w:val="clear" w:color="auto" w:fill="FFFFFF"/>
        <w:spacing w:before="100" w:beforeAutospacing="1" w:after="100" w:afterAutospacing="1" w:line="240" w:lineRule="auto"/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4387006" cy="40211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oAguaAcat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567" cy="405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1353101" cy="7853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oAguaAcatic_simb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29" cy="7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10" w:rsidRPr="00504501" w:rsidRDefault="00057110" w:rsidP="00057110">
      <w:pPr>
        <w:shd w:val="clear" w:color="auto" w:fill="FFFFFF"/>
        <w:spacing w:before="100" w:beforeAutospacing="1" w:after="100" w:afterAutospacing="1" w:line="240" w:lineRule="auto"/>
        <w:jc w:val="center"/>
        <w:rPr>
          <w:sz w:val="18"/>
          <w:szCs w:val="18"/>
          <w:lang w:val="es-MX"/>
        </w:rPr>
      </w:pPr>
      <w:r w:rsidRPr="00504501">
        <w:rPr>
          <w:sz w:val="18"/>
          <w:szCs w:val="18"/>
          <w:lang w:val="es-MX"/>
        </w:rPr>
        <w:t>Figura</w:t>
      </w:r>
      <w:r w:rsidR="00E67C39" w:rsidRPr="00504501">
        <w:rPr>
          <w:sz w:val="18"/>
          <w:szCs w:val="18"/>
          <w:lang w:val="es-MX"/>
        </w:rPr>
        <w:t>1</w:t>
      </w:r>
      <w:r w:rsidRPr="00504501">
        <w:rPr>
          <w:sz w:val="18"/>
          <w:szCs w:val="18"/>
          <w:lang w:val="es-MX"/>
        </w:rPr>
        <w:t xml:space="preserve">. </w:t>
      </w:r>
      <w:r w:rsidR="00A06DE5" w:rsidRPr="00504501">
        <w:rPr>
          <w:sz w:val="18"/>
          <w:szCs w:val="18"/>
          <w:lang w:val="es-MX"/>
        </w:rPr>
        <w:t xml:space="preserve">Distancia del pozo de extracción de agua, </w:t>
      </w:r>
      <w:r w:rsidR="00E67C39" w:rsidRPr="00504501">
        <w:rPr>
          <w:sz w:val="18"/>
          <w:szCs w:val="18"/>
          <w:lang w:val="es-MX"/>
        </w:rPr>
        <w:t>al Sitio de Disposición Final</w:t>
      </w:r>
      <w:r w:rsidR="00A06DE5" w:rsidRPr="00504501">
        <w:rPr>
          <w:sz w:val="18"/>
          <w:szCs w:val="18"/>
          <w:lang w:val="es-MX"/>
        </w:rPr>
        <w:t xml:space="preserve">, municipio de </w:t>
      </w:r>
      <w:proofErr w:type="spellStart"/>
      <w:r w:rsidR="00E67C39" w:rsidRPr="00504501">
        <w:rPr>
          <w:sz w:val="18"/>
          <w:szCs w:val="18"/>
          <w:lang w:val="es-MX"/>
        </w:rPr>
        <w:t>Acatic</w:t>
      </w:r>
      <w:proofErr w:type="spellEnd"/>
      <w:r w:rsidR="00A06DE5" w:rsidRPr="00504501">
        <w:rPr>
          <w:sz w:val="18"/>
          <w:szCs w:val="18"/>
          <w:lang w:val="es-MX"/>
        </w:rPr>
        <w:t>. Fuente: Registro Público de Derechos de Agua (REPDA), Conagua 2013.</w:t>
      </w:r>
    </w:p>
    <w:p w:rsidR="00E67C39" w:rsidRPr="00504501" w:rsidRDefault="00E67C39" w:rsidP="0050450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lang w:val="es-MX"/>
        </w:rPr>
      </w:pPr>
      <w:r w:rsidRPr="00504501">
        <w:rPr>
          <w:lang w:val="es-MX"/>
        </w:rPr>
        <w:lastRenderedPageBreak/>
        <w:t>La caracterización hidrogeológica, geológica y geotécnica,</w:t>
      </w:r>
      <w:r w:rsidRPr="00504501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504501">
        <w:rPr>
          <w:lang w:val="es-MX"/>
        </w:rPr>
        <w:t xml:space="preserve">para dar respuesta a este apartado es necesario que el Ayuntamiento de </w:t>
      </w:r>
      <w:proofErr w:type="spellStart"/>
      <w:r w:rsidRPr="00504501">
        <w:rPr>
          <w:lang w:val="es-MX"/>
        </w:rPr>
        <w:t>Acatic</w:t>
      </w:r>
      <w:proofErr w:type="spellEnd"/>
      <w:r w:rsidRPr="00504501">
        <w:rPr>
          <w:lang w:val="es-MX"/>
        </w:rPr>
        <w:t xml:space="preserve"> realice o subcontrate una serie de levantamientos en campo ya que el IIEG no tiene la instrumentación necesaria para realizar los estudios técnicos puntuales a detalle del sitio conforme a lo estipulado en la NOM-083-SEMARNAT-2003.</w:t>
      </w:r>
    </w:p>
    <w:p w:rsidR="00504501" w:rsidRDefault="00504501" w:rsidP="00E67C39">
      <w:pPr>
        <w:shd w:val="clear" w:color="auto" w:fill="FFFFFF"/>
        <w:spacing w:after="0" w:line="240" w:lineRule="auto"/>
        <w:jc w:val="both"/>
        <w:rPr>
          <w:lang w:val="es-MX"/>
        </w:rPr>
      </w:pPr>
    </w:p>
    <w:p w:rsidR="00504501" w:rsidRDefault="00504501" w:rsidP="00E67C39">
      <w:pPr>
        <w:shd w:val="clear" w:color="auto" w:fill="FFFFFF"/>
        <w:spacing w:after="0" w:line="240" w:lineRule="auto"/>
        <w:jc w:val="both"/>
        <w:rPr>
          <w:lang w:val="es-MX"/>
        </w:rPr>
      </w:pPr>
      <w:r>
        <w:rPr>
          <w:lang w:val="es-MX"/>
        </w:rPr>
        <w:t>Adicional</w:t>
      </w:r>
      <w:r w:rsidR="00FA64BD">
        <w:rPr>
          <w:lang w:val="es-MX"/>
        </w:rPr>
        <w:t>mente</w:t>
      </w:r>
      <w:r w:rsidR="00E3484D">
        <w:rPr>
          <w:lang w:val="es-MX"/>
        </w:rPr>
        <w:t xml:space="preserve"> y en caso de que siga operando el sitio,</w:t>
      </w:r>
      <w:r>
        <w:rPr>
          <w:lang w:val="es-MX"/>
        </w:rPr>
        <w:t xml:space="preserve"> se recomienda realizar alguna medida estructural (infraestructura hidráulica) que mitigue los efectos causados por el flujo intermitente que intersecta el sitio</w:t>
      </w:r>
      <w:r w:rsidRPr="00E97AC5">
        <w:rPr>
          <w:lang w:val="es-ES"/>
        </w:rPr>
        <w:t xml:space="preserve"> </w:t>
      </w:r>
      <w:r w:rsidRPr="00E97AC5">
        <w:rPr>
          <w:lang w:val="es-MX"/>
        </w:rPr>
        <w:t xml:space="preserve">de disposición final de residuos </w:t>
      </w:r>
      <w:r>
        <w:rPr>
          <w:lang w:val="es-MX"/>
        </w:rPr>
        <w:t xml:space="preserve">sólidos </w:t>
      </w:r>
      <w:r w:rsidR="0000575A">
        <w:rPr>
          <w:lang w:val="es-MX"/>
        </w:rPr>
        <w:t>del municipio</w:t>
      </w:r>
      <w:r>
        <w:rPr>
          <w:lang w:val="es-MX"/>
        </w:rPr>
        <w:t>, considerando los datos para una tormenta extraordinaria con un periodo de retorno de 5, 10 y 50 años.</w:t>
      </w:r>
    </w:p>
    <w:p w:rsidR="00504501" w:rsidRDefault="00504501" w:rsidP="00E67C39">
      <w:pPr>
        <w:shd w:val="clear" w:color="auto" w:fill="FFFFFF"/>
        <w:spacing w:after="0" w:line="240" w:lineRule="auto"/>
        <w:jc w:val="both"/>
        <w:rPr>
          <w:lang w:val="es-MX"/>
        </w:rPr>
      </w:pPr>
    </w:p>
    <w:p w:rsidR="00DC6918" w:rsidRDefault="00DC6918" w:rsidP="00504501">
      <w:pPr>
        <w:shd w:val="clear" w:color="auto" w:fill="FFFFFF"/>
        <w:spacing w:before="100" w:beforeAutospacing="1" w:after="100" w:afterAutospacing="1" w:line="240" w:lineRule="auto"/>
        <w:rPr>
          <w:lang w:val="es-MX"/>
        </w:rPr>
      </w:pPr>
    </w:p>
    <w:sectPr w:rsidR="00DC6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0009"/>
    <w:multiLevelType w:val="hybridMultilevel"/>
    <w:tmpl w:val="0D9EE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F3F12"/>
    <w:multiLevelType w:val="hybridMultilevel"/>
    <w:tmpl w:val="9C7AA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B5DF5"/>
    <w:multiLevelType w:val="hybridMultilevel"/>
    <w:tmpl w:val="87FE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86975"/>
    <w:multiLevelType w:val="hybridMultilevel"/>
    <w:tmpl w:val="A3B2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B65F1"/>
    <w:multiLevelType w:val="hybridMultilevel"/>
    <w:tmpl w:val="1D721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C7FB5"/>
    <w:multiLevelType w:val="hybridMultilevel"/>
    <w:tmpl w:val="53205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400A"/>
    <w:multiLevelType w:val="hybridMultilevel"/>
    <w:tmpl w:val="F442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14FE"/>
    <w:multiLevelType w:val="hybridMultilevel"/>
    <w:tmpl w:val="FEFCD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D7"/>
    <w:rsid w:val="0000575A"/>
    <w:rsid w:val="00057110"/>
    <w:rsid w:val="00091FAE"/>
    <w:rsid w:val="00133576"/>
    <w:rsid w:val="00140FBF"/>
    <w:rsid w:val="003B5CBE"/>
    <w:rsid w:val="004015EA"/>
    <w:rsid w:val="00504501"/>
    <w:rsid w:val="006154A0"/>
    <w:rsid w:val="00644502"/>
    <w:rsid w:val="007B1736"/>
    <w:rsid w:val="007D0ABB"/>
    <w:rsid w:val="009151E8"/>
    <w:rsid w:val="009B113D"/>
    <w:rsid w:val="009D0DBA"/>
    <w:rsid w:val="00A06DE5"/>
    <w:rsid w:val="00AA5306"/>
    <w:rsid w:val="00AB040E"/>
    <w:rsid w:val="00B57E3C"/>
    <w:rsid w:val="00B76826"/>
    <w:rsid w:val="00BC606D"/>
    <w:rsid w:val="00CA7171"/>
    <w:rsid w:val="00D70F02"/>
    <w:rsid w:val="00DB35D7"/>
    <w:rsid w:val="00DC6918"/>
    <w:rsid w:val="00E0222A"/>
    <w:rsid w:val="00E3484D"/>
    <w:rsid w:val="00E67C39"/>
    <w:rsid w:val="00F25603"/>
    <w:rsid w:val="00F35F07"/>
    <w:rsid w:val="00FA64BD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BBF8"/>
  <w15:chartTrackingRefBased/>
  <w15:docId w15:val="{3E777569-44FE-4531-AF15-17A45443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5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7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6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IIEG-UGMA-IvanG</dc:creator>
  <cp:keywords/>
  <dc:description/>
  <cp:lastModifiedBy>ATORRE-IIEG</cp:lastModifiedBy>
  <cp:revision>12</cp:revision>
  <dcterms:created xsi:type="dcterms:W3CDTF">2017-11-08T16:22:00Z</dcterms:created>
  <dcterms:modified xsi:type="dcterms:W3CDTF">2018-09-19T17:05:00Z</dcterms:modified>
</cp:coreProperties>
</file>