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C8" w:rsidRPr="004E654A" w:rsidRDefault="003261C8" w:rsidP="00F94E6B">
      <w:pPr>
        <w:pStyle w:val="Ttulo"/>
        <w:outlineLvl w:val="0"/>
        <w:rPr>
          <w:rFonts w:asciiTheme="minorHAnsi" w:eastAsia="MS Mincho" w:hAnsiTheme="minorHAnsi" w:cstheme="minorHAnsi"/>
          <w:color w:val="auto"/>
          <w:sz w:val="22"/>
          <w:szCs w:val="18"/>
          <w:lang w:val="es-ES_tradnl"/>
        </w:rPr>
      </w:pPr>
      <w:bookmarkStart w:id="0" w:name="_Toc394671132"/>
      <w:r w:rsidRPr="004E654A">
        <w:rPr>
          <w:rFonts w:asciiTheme="minorHAnsi" w:eastAsia="MS Mincho" w:hAnsiTheme="minorHAnsi" w:cstheme="minorHAnsi"/>
          <w:color w:val="auto"/>
          <w:sz w:val="22"/>
          <w:szCs w:val="18"/>
          <w:lang w:val="es-ES_tradnl"/>
        </w:rPr>
        <w:t xml:space="preserve">CRONOGRAMA GENERAL POR </w:t>
      </w:r>
      <w:bookmarkEnd w:id="0"/>
      <w:r w:rsidRPr="004E654A">
        <w:rPr>
          <w:rFonts w:asciiTheme="minorHAnsi" w:eastAsia="MS Mincho" w:hAnsiTheme="minorHAnsi" w:cstheme="minorHAnsi"/>
          <w:color w:val="auto"/>
          <w:sz w:val="22"/>
          <w:szCs w:val="18"/>
          <w:lang w:val="es-ES_tradnl"/>
        </w:rPr>
        <w:t>TRIMESTRE</w:t>
      </w:r>
    </w:p>
    <w:p w:rsidR="003261C8" w:rsidRPr="00F94E6B" w:rsidRDefault="003261C8" w:rsidP="00F94E6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8789"/>
        <w:gridCol w:w="1696"/>
        <w:gridCol w:w="850"/>
        <w:gridCol w:w="851"/>
        <w:gridCol w:w="850"/>
        <w:gridCol w:w="851"/>
      </w:tblGrid>
      <w:tr w:rsidR="006371FD" w:rsidRPr="004E654A" w:rsidTr="006371FD">
        <w:trPr>
          <w:trHeight w:val="169"/>
        </w:trPr>
        <w:tc>
          <w:tcPr>
            <w:tcW w:w="8789" w:type="dxa"/>
            <w:vMerge w:val="restart"/>
            <w:shd w:val="clear" w:color="auto" w:fill="6C0000"/>
            <w:vAlign w:val="center"/>
          </w:tcPr>
          <w:p w:rsidR="006371FD" w:rsidRPr="004E654A" w:rsidRDefault="006371FD" w:rsidP="00C021EA">
            <w:pPr>
              <w:pStyle w:val="TDC1"/>
              <w:jc w:val="center"/>
              <w:rPr>
                <w:b/>
                <w:sz w:val="20"/>
                <w:szCs w:val="20"/>
              </w:rPr>
            </w:pPr>
            <w:r w:rsidRPr="004E654A">
              <w:rPr>
                <w:b/>
                <w:sz w:val="20"/>
                <w:szCs w:val="20"/>
              </w:rPr>
              <w:t>Actividad</w:t>
            </w:r>
          </w:p>
        </w:tc>
        <w:tc>
          <w:tcPr>
            <w:tcW w:w="1696" w:type="dxa"/>
            <w:vMerge w:val="restart"/>
            <w:shd w:val="clear" w:color="auto" w:fill="6C0000"/>
            <w:vAlign w:val="center"/>
          </w:tcPr>
          <w:p w:rsidR="006371FD" w:rsidRPr="004E654A" w:rsidRDefault="006371FD" w:rsidP="00C021EA">
            <w:pPr>
              <w:pStyle w:val="TDC1"/>
              <w:jc w:val="center"/>
              <w:rPr>
                <w:b/>
                <w:sz w:val="20"/>
                <w:szCs w:val="20"/>
              </w:rPr>
            </w:pPr>
            <w:r w:rsidRPr="004E654A">
              <w:rPr>
                <w:b/>
                <w:sz w:val="20"/>
                <w:szCs w:val="20"/>
              </w:rPr>
              <w:t>Área responsable</w:t>
            </w:r>
          </w:p>
        </w:tc>
        <w:tc>
          <w:tcPr>
            <w:tcW w:w="3402" w:type="dxa"/>
            <w:gridSpan w:val="4"/>
            <w:shd w:val="clear" w:color="auto" w:fill="6C0000"/>
            <w:vAlign w:val="center"/>
          </w:tcPr>
          <w:p w:rsidR="006371FD" w:rsidRPr="004E654A" w:rsidRDefault="006371FD" w:rsidP="00C021EA">
            <w:pPr>
              <w:pStyle w:val="TDC1"/>
              <w:jc w:val="center"/>
              <w:rPr>
                <w:b/>
                <w:sz w:val="20"/>
                <w:szCs w:val="20"/>
              </w:rPr>
            </w:pPr>
            <w:r w:rsidRPr="004E654A">
              <w:rPr>
                <w:b/>
                <w:sz w:val="20"/>
                <w:szCs w:val="20"/>
              </w:rPr>
              <w:t>Trimestre</w:t>
            </w:r>
          </w:p>
        </w:tc>
      </w:tr>
      <w:tr w:rsidR="006371FD" w:rsidRPr="00C021EA" w:rsidTr="006371FD">
        <w:trPr>
          <w:trHeight w:val="169"/>
        </w:trPr>
        <w:tc>
          <w:tcPr>
            <w:tcW w:w="8789" w:type="dxa"/>
            <w:vMerge/>
            <w:shd w:val="clear" w:color="auto" w:fill="6C0000"/>
            <w:vAlign w:val="center"/>
          </w:tcPr>
          <w:p w:rsidR="006371FD" w:rsidRPr="00C021EA" w:rsidRDefault="006371FD" w:rsidP="00C021EA">
            <w:pPr>
              <w:pStyle w:val="TDC1"/>
              <w:jc w:val="center"/>
              <w:rPr>
                <w:b/>
              </w:rPr>
            </w:pPr>
          </w:p>
        </w:tc>
        <w:tc>
          <w:tcPr>
            <w:tcW w:w="1696" w:type="dxa"/>
            <w:vMerge/>
            <w:shd w:val="clear" w:color="auto" w:fill="6C0000"/>
            <w:vAlign w:val="center"/>
          </w:tcPr>
          <w:p w:rsidR="006371FD" w:rsidRPr="00C021EA" w:rsidRDefault="006371FD" w:rsidP="00C021EA">
            <w:pPr>
              <w:pStyle w:val="TDC1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6C0000"/>
            <w:vAlign w:val="center"/>
          </w:tcPr>
          <w:p w:rsidR="006371FD" w:rsidRPr="00C021EA" w:rsidRDefault="006371FD" w:rsidP="00C021EA">
            <w:pPr>
              <w:pStyle w:val="TDC1"/>
              <w:jc w:val="center"/>
              <w:rPr>
                <w:b/>
              </w:rPr>
            </w:pPr>
            <w:r w:rsidRPr="00C021EA">
              <w:rPr>
                <w:b/>
              </w:rPr>
              <w:t>Enero -marzo</w:t>
            </w:r>
          </w:p>
        </w:tc>
        <w:tc>
          <w:tcPr>
            <w:tcW w:w="851" w:type="dxa"/>
            <w:shd w:val="clear" w:color="auto" w:fill="6C0000"/>
            <w:vAlign w:val="center"/>
          </w:tcPr>
          <w:p w:rsidR="006371FD" w:rsidRPr="00C021EA" w:rsidRDefault="006371FD" w:rsidP="00C021EA">
            <w:pPr>
              <w:pStyle w:val="TDC1"/>
              <w:jc w:val="center"/>
              <w:rPr>
                <w:b/>
              </w:rPr>
            </w:pPr>
            <w:r w:rsidRPr="00C021EA">
              <w:rPr>
                <w:b/>
              </w:rPr>
              <w:t>Abril -junio</w:t>
            </w:r>
          </w:p>
        </w:tc>
        <w:tc>
          <w:tcPr>
            <w:tcW w:w="850" w:type="dxa"/>
            <w:shd w:val="clear" w:color="auto" w:fill="6C0000"/>
            <w:vAlign w:val="center"/>
          </w:tcPr>
          <w:p w:rsidR="006371FD" w:rsidRPr="00C021EA" w:rsidRDefault="006371FD" w:rsidP="00C021EA">
            <w:pPr>
              <w:pStyle w:val="TDC1"/>
              <w:jc w:val="center"/>
              <w:rPr>
                <w:b/>
              </w:rPr>
            </w:pPr>
            <w:r w:rsidRPr="00C021EA">
              <w:rPr>
                <w:b/>
              </w:rPr>
              <w:t>Julio -sept</w:t>
            </w:r>
          </w:p>
        </w:tc>
        <w:tc>
          <w:tcPr>
            <w:tcW w:w="851" w:type="dxa"/>
            <w:shd w:val="clear" w:color="auto" w:fill="6C0000"/>
            <w:vAlign w:val="center"/>
          </w:tcPr>
          <w:p w:rsidR="006371FD" w:rsidRPr="00C021EA" w:rsidRDefault="006371FD" w:rsidP="00C021EA">
            <w:pPr>
              <w:pStyle w:val="TDC1"/>
              <w:jc w:val="center"/>
              <w:rPr>
                <w:b/>
              </w:rPr>
            </w:pPr>
            <w:r w:rsidRPr="00C021EA">
              <w:rPr>
                <w:b/>
              </w:rPr>
              <w:t>Octubre-dic</w:t>
            </w:r>
          </w:p>
        </w:tc>
      </w:tr>
      <w:tr w:rsidR="002C0A94" w:rsidRPr="006371FD" w:rsidTr="00205280">
        <w:trPr>
          <w:trHeight w:val="168"/>
        </w:trPr>
        <w:tc>
          <w:tcPr>
            <w:tcW w:w="8789" w:type="dxa"/>
            <w:vAlign w:val="center"/>
          </w:tcPr>
          <w:p w:rsidR="002C0A94" w:rsidRPr="006371FD" w:rsidRDefault="002C0A94" w:rsidP="0020528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Actualizaciones e integración de nuevas capas en el SIG Web de Jalisco, con SEPAF.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>
              <w:t>Unidad de Geografía y Medio Ambiente</w:t>
            </w:r>
            <w:r w:rsidRPr="006371FD">
              <w:t xml:space="preserve"> </w:t>
            </w:r>
            <w:r>
              <w:t>(</w:t>
            </w:r>
            <w:r w:rsidRPr="006371FD">
              <w:t>UGMA</w:t>
            </w:r>
            <w:r>
              <w:t>)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205280">
        <w:trPr>
          <w:trHeight w:val="168"/>
        </w:trPr>
        <w:tc>
          <w:tcPr>
            <w:tcW w:w="8789" w:type="dxa"/>
            <w:vAlign w:val="center"/>
          </w:tcPr>
          <w:p w:rsidR="002C0A94" w:rsidRPr="006371FD" w:rsidRDefault="002C0A94" w:rsidP="0020528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E437C">
              <w:rPr>
                <w:rFonts w:asciiTheme="minorHAnsi" w:hAnsiTheme="minorHAnsi" w:cstheme="minorHAnsi"/>
                <w:sz w:val="18"/>
                <w:szCs w:val="18"/>
              </w:rPr>
              <w:t>Análisis de cifras de incidencia delictiva para el Estado de Jalisco y sus municipios</w:t>
            </w: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shd w:val="clear" w:color="auto" w:fill="FFFFFF" w:themeFill="background1"/>
          </w:tcPr>
          <w:p w:rsidR="002C0A94" w:rsidRPr="006371FD" w:rsidRDefault="002C0A94" w:rsidP="005204F9">
            <w:pPr>
              <w:pStyle w:val="TDC1"/>
              <w:jc w:val="center"/>
            </w:pPr>
            <w:r>
              <w:t>Unidad de Gobierno, Seguridad y Justicia (</w:t>
            </w:r>
            <w:r w:rsidRPr="006371FD">
              <w:t>UGSJ</w:t>
            </w:r>
            <w:r>
              <w:t>)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205280">
        <w:trPr>
          <w:trHeight w:val="168"/>
        </w:trPr>
        <w:tc>
          <w:tcPr>
            <w:tcW w:w="8789" w:type="dxa"/>
            <w:vAlign w:val="center"/>
          </w:tcPr>
          <w:p w:rsidR="002C0A94" w:rsidRPr="006371FD" w:rsidRDefault="002C0A94" w:rsidP="0020528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E437C">
              <w:rPr>
                <w:rFonts w:asciiTheme="minorHAnsi" w:hAnsiTheme="minorHAnsi" w:cstheme="minorHAnsi"/>
                <w:sz w:val="18"/>
                <w:szCs w:val="18"/>
              </w:rPr>
              <w:t>Análisis de las cifras de incidencia delictiva para el comparativo estatal en el marco del Secretariado Ejecutivo del Sistema Nacional de Seguridad Pública</w:t>
            </w: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shd w:val="clear" w:color="auto" w:fill="FFFFFF" w:themeFill="background1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UGSJ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205280">
        <w:trPr>
          <w:trHeight w:val="168"/>
        </w:trPr>
        <w:tc>
          <w:tcPr>
            <w:tcW w:w="8789" w:type="dxa"/>
            <w:vAlign w:val="center"/>
          </w:tcPr>
          <w:p w:rsidR="002C0A94" w:rsidRPr="006371FD" w:rsidRDefault="002C0A94" w:rsidP="0020528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E437C">
              <w:rPr>
                <w:rFonts w:asciiTheme="minorHAnsi" w:hAnsiTheme="minorHAnsi" w:cstheme="minorHAnsi"/>
                <w:sz w:val="18"/>
                <w:szCs w:val="18"/>
              </w:rPr>
              <w:t>Análisis de los proyectos de estadística del INEGI, en Censos, Encuestas y Registros Administrativos relativos a Gobierno, Seguridad y Justicia.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UGSJ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205280">
        <w:trPr>
          <w:trHeight w:val="168"/>
        </w:trPr>
        <w:tc>
          <w:tcPr>
            <w:tcW w:w="8789" w:type="dxa"/>
            <w:vAlign w:val="center"/>
          </w:tcPr>
          <w:p w:rsidR="002C0A94" w:rsidRPr="006371FD" w:rsidRDefault="002C0A94" w:rsidP="00B33A39">
            <w:pPr>
              <w:spacing w:beforeLines="20" w:before="48" w:after="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E437C">
              <w:rPr>
                <w:rFonts w:asciiTheme="minorHAnsi" w:hAnsiTheme="minorHAnsi" w:cstheme="minorHAnsi"/>
                <w:sz w:val="18"/>
                <w:szCs w:val="18"/>
              </w:rPr>
              <w:t>Análisis de reportes generados en el tema de violencia contra la mujer: feminicidios, parricidios y homicidios dolosos.</w:t>
            </w:r>
          </w:p>
        </w:tc>
        <w:tc>
          <w:tcPr>
            <w:tcW w:w="1696" w:type="dxa"/>
            <w:shd w:val="clear" w:color="auto" w:fill="FFFFFF" w:themeFill="background1"/>
          </w:tcPr>
          <w:p w:rsidR="002C0A94" w:rsidRPr="006371FD" w:rsidRDefault="002C0A94" w:rsidP="005204F9">
            <w:pPr>
              <w:pStyle w:val="TDC1"/>
              <w:spacing w:beforeLines="20" w:before="48" w:after="20"/>
              <w:jc w:val="center"/>
            </w:pPr>
            <w:r w:rsidRPr="006371FD">
              <w:t>UGSJ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B33A39">
            <w:pPr>
              <w:pStyle w:val="TDC1"/>
              <w:spacing w:beforeLines="20" w:before="48" w:after="20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B33A39">
            <w:pPr>
              <w:pStyle w:val="TDC1"/>
              <w:spacing w:beforeLines="20" w:before="48" w:after="20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B33A39">
            <w:pPr>
              <w:pStyle w:val="TDC1"/>
              <w:spacing w:beforeLines="20" w:before="48" w:after="20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B33A39">
            <w:pPr>
              <w:pStyle w:val="TDC1"/>
              <w:spacing w:beforeLines="20" w:before="48" w:after="20"/>
            </w:pPr>
          </w:p>
        </w:tc>
      </w:tr>
      <w:tr w:rsidR="002C0A94" w:rsidRPr="006371FD" w:rsidTr="00205280">
        <w:trPr>
          <w:trHeight w:val="168"/>
        </w:trPr>
        <w:tc>
          <w:tcPr>
            <w:tcW w:w="8789" w:type="dxa"/>
            <w:vAlign w:val="center"/>
          </w:tcPr>
          <w:p w:rsidR="002C0A94" w:rsidRPr="006371FD" w:rsidRDefault="002C0A94" w:rsidP="0020528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Analítica de datos.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>
              <w:t>Unidad de Tecnologías de Información (</w:t>
            </w:r>
            <w:r w:rsidRPr="006371FD">
              <w:t>UTI</w:t>
            </w:r>
            <w:r>
              <w:t>)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AE0DA2">
        <w:trPr>
          <w:trHeight w:val="130"/>
        </w:trPr>
        <w:tc>
          <w:tcPr>
            <w:tcW w:w="8789" w:type="dxa"/>
            <w:vAlign w:val="center"/>
          </w:tcPr>
          <w:p w:rsidR="002C0A94" w:rsidRPr="006371FD" w:rsidRDefault="002C0A94" w:rsidP="00AE0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 xml:space="preserve">Atención a Proyectos Especializados de la Cámara de Industria Alimenticia (CIAJ). 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834700">
              <w:t>Unidad Económico</w:t>
            </w:r>
            <w:r>
              <w:t>-</w:t>
            </w:r>
            <w:r w:rsidRPr="00834700">
              <w:t>financiera (UEF)</w:t>
            </w: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</w:tr>
      <w:tr w:rsidR="002C0A94" w:rsidRPr="006371FD" w:rsidTr="00AE0DA2">
        <w:trPr>
          <w:trHeight w:val="218"/>
        </w:trPr>
        <w:tc>
          <w:tcPr>
            <w:tcW w:w="8789" w:type="dxa"/>
            <w:vAlign w:val="center"/>
          </w:tcPr>
          <w:p w:rsidR="002C0A94" w:rsidRPr="006371FD" w:rsidRDefault="002C0A94" w:rsidP="002C0A94">
            <w:pPr>
              <w:spacing w:afterLines="20" w:after="48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 xml:space="preserve">Atención a requerimientos específicos de empresas atendidas por MIND </w:t>
            </w:r>
          </w:p>
        </w:tc>
        <w:tc>
          <w:tcPr>
            <w:tcW w:w="1696" w:type="dxa"/>
            <w:vAlign w:val="center"/>
          </w:tcPr>
          <w:p w:rsidR="002C0A94" w:rsidRPr="006371FD" w:rsidRDefault="002C0A94" w:rsidP="005204F9">
            <w:pPr>
              <w:pStyle w:val="TDC1"/>
              <w:spacing w:afterLines="20" w:after="48"/>
              <w:jc w:val="center"/>
            </w:pPr>
            <w:r w:rsidRPr="006371FD">
              <w:t>UEF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</w:tr>
      <w:tr w:rsidR="002C0A94" w:rsidRPr="006371FD" w:rsidTr="00205280">
        <w:trPr>
          <w:trHeight w:val="168"/>
        </w:trPr>
        <w:tc>
          <w:tcPr>
            <w:tcW w:w="8789" w:type="dxa"/>
            <w:vAlign w:val="center"/>
          </w:tcPr>
          <w:p w:rsidR="002C0A94" w:rsidRPr="006371FD" w:rsidRDefault="002C0A94" w:rsidP="002C0A94">
            <w:pPr>
              <w:spacing w:afterLines="20" w:after="48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Atención a solicitudes de información de diversos usuarios IIEG (Gobierno, Iniciativa Privada y Academia).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spacing w:afterLines="20" w:after="48"/>
              <w:jc w:val="center"/>
            </w:pPr>
            <w:r>
              <w:t>IIEG - Sustantivas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</w:tr>
      <w:tr w:rsidR="002C0A94" w:rsidRPr="006371FD" w:rsidTr="00205280">
        <w:trPr>
          <w:trHeight w:val="210"/>
        </w:trPr>
        <w:tc>
          <w:tcPr>
            <w:tcW w:w="8789" w:type="dxa"/>
            <w:vAlign w:val="center"/>
          </w:tcPr>
          <w:p w:rsidR="002C0A94" w:rsidRPr="006371FD" w:rsidRDefault="002C0A94" w:rsidP="0020528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 xml:space="preserve">Atención solicitudes y análisis requeridos por cualquiera de las direcciones generales y los OPD de la Secretaría de Desarrollo Económico, así como cualquier Secretaría del Eje Económico (Turismo, SEDER, Secretaría del Trabajo y </w:t>
            </w:r>
            <w:proofErr w:type="spellStart"/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SICyT</w:t>
            </w:r>
            <w:proofErr w:type="spellEnd"/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UEF</w:t>
            </w: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AE0DA2">
        <w:trPr>
          <w:trHeight w:val="192"/>
        </w:trPr>
        <w:tc>
          <w:tcPr>
            <w:tcW w:w="8789" w:type="dxa"/>
          </w:tcPr>
          <w:p w:rsidR="002C0A94" w:rsidRPr="006371FD" w:rsidRDefault="002C0A94" w:rsidP="002C0A94">
            <w:pPr>
              <w:spacing w:afterLines="20" w:after="48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Colaboración con SEDER en relación a georreferenciación de apoyos silvopastoriles.</w:t>
            </w:r>
          </w:p>
        </w:tc>
        <w:tc>
          <w:tcPr>
            <w:tcW w:w="1696" w:type="dxa"/>
            <w:vAlign w:val="center"/>
          </w:tcPr>
          <w:p w:rsidR="002C0A94" w:rsidRPr="006371FD" w:rsidRDefault="002C0A94" w:rsidP="005204F9">
            <w:pPr>
              <w:pStyle w:val="TDC1"/>
              <w:spacing w:afterLines="20" w:after="48"/>
              <w:jc w:val="center"/>
            </w:pPr>
            <w:r w:rsidRPr="006371FD">
              <w:t>UGMA</w:t>
            </w: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</w:tr>
      <w:tr w:rsidR="002C0A94" w:rsidRPr="006371FD" w:rsidTr="00AE0DA2">
        <w:trPr>
          <w:trHeight w:val="127"/>
        </w:trPr>
        <w:tc>
          <w:tcPr>
            <w:tcW w:w="8789" w:type="dxa"/>
            <w:vAlign w:val="center"/>
          </w:tcPr>
          <w:p w:rsidR="002C0A94" w:rsidRPr="006371FD" w:rsidRDefault="002C0A94" w:rsidP="002C0A94">
            <w:pPr>
              <w:spacing w:afterLines="20" w:after="48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Colaboración en Foro Económico Internacional, enero 2018 (</w:t>
            </w:r>
            <w:r w:rsidRPr="006371F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Al </w:t>
            </w:r>
            <w:proofErr w:type="spellStart"/>
            <w:r w:rsidRPr="006371FD">
              <w:rPr>
                <w:rFonts w:asciiTheme="minorHAnsi" w:hAnsiTheme="minorHAnsi" w:cstheme="minorHAnsi"/>
                <w:i/>
                <w:sz w:val="18"/>
                <w:szCs w:val="18"/>
              </w:rPr>
              <w:t>Invest</w:t>
            </w:r>
            <w:proofErr w:type="spellEnd"/>
            <w:r w:rsidRPr="006371FD">
              <w:rPr>
                <w:rFonts w:asciiTheme="minorHAnsi" w:hAnsiTheme="minorHAnsi" w:cstheme="minorHAnsi"/>
                <w:sz w:val="18"/>
                <w:szCs w:val="18"/>
              </w:rPr>
              <w:t xml:space="preserve"> / Unión Europea / CEPAL). </w:t>
            </w:r>
            <w:proofErr w:type="spellStart"/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Coparmex</w:t>
            </w:r>
            <w:proofErr w:type="spellEnd"/>
            <w:r w:rsidRPr="006371FD">
              <w:rPr>
                <w:rFonts w:asciiTheme="minorHAnsi" w:hAnsiTheme="minorHAnsi" w:cstheme="minorHAnsi"/>
                <w:sz w:val="18"/>
                <w:szCs w:val="18"/>
              </w:rPr>
              <w:t xml:space="preserve"> 2018 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spacing w:afterLines="20" w:after="48"/>
              <w:jc w:val="center"/>
            </w:pPr>
            <w:r w:rsidRPr="006371FD">
              <w:t>UEF</w:t>
            </w: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2C0A94">
            <w:pPr>
              <w:spacing w:afterLines="20" w:after="48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Colaboración y apoyo en generación de información y sistemas a Estados y Municipios.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spacing w:afterLines="20" w:after="48"/>
              <w:jc w:val="center"/>
            </w:pPr>
            <w:r w:rsidRPr="006371FD">
              <w:t>UTI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</w:tr>
      <w:tr w:rsidR="002C0A94" w:rsidRPr="006371FD" w:rsidTr="00AE0DA2">
        <w:trPr>
          <w:trHeight w:val="70"/>
        </w:trPr>
        <w:tc>
          <w:tcPr>
            <w:tcW w:w="8789" w:type="dxa"/>
            <w:vAlign w:val="center"/>
          </w:tcPr>
          <w:p w:rsidR="002C0A94" w:rsidRPr="006371FD" w:rsidRDefault="002C0A94" w:rsidP="002C0A94">
            <w:pPr>
              <w:spacing w:afterLines="20" w:after="48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 xml:space="preserve">Colaboración y participación en las reuniones derivadas de la Agenda de Competitividad de 2018. </w:t>
            </w:r>
          </w:p>
        </w:tc>
        <w:tc>
          <w:tcPr>
            <w:tcW w:w="1696" w:type="dxa"/>
            <w:vAlign w:val="center"/>
          </w:tcPr>
          <w:p w:rsidR="002C0A94" w:rsidRPr="006371FD" w:rsidRDefault="002C0A94" w:rsidP="005204F9">
            <w:pPr>
              <w:pStyle w:val="TDC1"/>
              <w:spacing w:afterLines="20" w:after="48"/>
              <w:jc w:val="center"/>
            </w:pPr>
            <w:r w:rsidRPr="006371FD">
              <w:t>UEF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2C0A94">
            <w:pPr>
              <w:spacing w:afterLines="20" w:after="48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Colaboración y publicación de la información delictiva para la App de Seguridad.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spacing w:afterLines="20" w:after="48"/>
              <w:jc w:val="center"/>
            </w:pPr>
            <w:r w:rsidRPr="006371FD">
              <w:t>UTI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</w:tr>
      <w:tr w:rsidR="002C0A94" w:rsidRPr="006371FD" w:rsidTr="00AE0DA2">
        <w:trPr>
          <w:trHeight w:val="80"/>
        </w:trPr>
        <w:tc>
          <w:tcPr>
            <w:tcW w:w="8789" w:type="dxa"/>
            <w:vAlign w:val="center"/>
          </w:tcPr>
          <w:p w:rsidR="002C0A94" w:rsidRPr="006371FD" w:rsidRDefault="002C0A94" w:rsidP="00AE0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Complemento a la cuantificación económica de sectores estratégicos del país en base a registro administrativo y a fundamentales económicos, según marca la estrategia de i clúster.</w:t>
            </w:r>
          </w:p>
        </w:tc>
        <w:tc>
          <w:tcPr>
            <w:tcW w:w="1696" w:type="dxa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UEF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</w:tr>
      <w:tr w:rsidR="002C0A94" w:rsidRPr="006371FD" w:rsidTr="00AE0DA2">
        <w:trPr>
          <w:trHeight w:val="168"/>
        </w:trPr>
        <w:tc>
          <w:tcPr>
            <w:tcW w:w="8789" w:type="dxa"/>
          </w:tcPr>
          <w:p w:rsidR="002C0A94" w:rsidRPr="006371FD" w:rsidRDefault="002C0A94" w:rsidP="002C0A94">
            <w:pPr>
              <w:spacing w:afterLines="20" w:after="48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Conclusión de la vectorización de las cartas de uso potencial</w:t>
            </w:r>
          </w:p>
        </w:tc>
        <w:tc>
          <w:tcPr>
            <w:tcW w:w="1696" w:type="dxa"/>
            <w:vAlign w:val="center"/>
          </w:tcPr>
          <w:p w:rsidR="002C0A94" w:rsidRPr="006371FD" w:rsidRDefault="002C0A94" w:rsidP="005204F9">
            <w:pPr>
              <w:pStyle w:val="TDC1"/>
              <w:spacing w:afterLines="20" w:after="48"/>
              <w:jc w:val="center"/>
            </w:pPr>
            <w:r w:rsidRPr="006371FD">
              <w:t>UGMA</w:t>
            </w: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</w:tr>
      <w:tr w:rsidR="002C0A94" w:rsidRPr="006371FD" w:rsidTr="00AE0DA2">
        <w:trPr>
          <w:trHeight w:val="100"/>
        </w:trPr>
        <w:tc>
          <w:tcPr>
            <w:tcW w:w="8789" w:type="dxa"/>
          </w:tcPr>
          <w:p w:rsidR="002C0A94" w:rsidRPr="006371FD" w:rsidRDefault="002C0A94" w:rsidP="002C0A94">
            <w:pPr>
              <w:spacing w:afterLines="20" w:after="48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Conclusión de los trabajos del SIG Tecolotlán.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spacing w:afterLines="20" w:after="48"/>
              <w:jc w:val="center"/>
            </w:pPr>
            <w:r w:rsidRPr="006371FD">
              <w:t>UGMA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2C0A94">
            <w:pPr>
              <w:pStyle w:val="TDC1"/>
              <w:spacing w:afterLines="20" w:after="48"/>
            </w:pPr>
          </w:p>
        </w:tc>
      </w:tr>
      <w:tr w:rsidR="002C0A94" w:rsidRPr="004E654A" w:rsidTr="00AE0DA2">
        <w:trPr>
          <w:trHeight w:val="169"/>
        </w:trPr>
        <w:tc>
          <w:tcPr>
            <w:tcW w:w="8789" w:type="dxa"/>
            <w:vMerge w:val="restart"/>
            <w:shd w:val="clear" w:color="auto" w:fill="6C0000"/>
            <w:vAlign w:val="center"/>
          </w:tcPr>
          <w:p w:rsidR="002C0A94" w:rsidRPr="004E654A" w:rsidRDefault="002C0A94" w:rsidP="00AE0DA2">
            <w:pPr>
              <w:pStyle w:val="TDC1"/>
              <w:jc w:val="center"/>
              <w:rPr>
                <w:b/>
                <w:sz w:val="20"/>
                <w:szCs w:val="20"/>
              </w:rPr>
            </w:pPr>
            <w:r w:rsidRPr="004E654A">
              <w:rPr>
                <w:b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1696" w:type="dxa"/>
            <w:vMerge w:val="restart"/>
            <w:shd w:val="clear" w:color="auto" w:fill="6C0000"/>
            <w:vAlign w:val="center"/>
          </w:tcPr>
          <w:p w:rsidR="002C0A94" w:rsidRPr="004E654A" w:rsidRDefault="002C0A94" w:rsidP="00AE0DA2">
            <w:pPr>
              <w:pStyle w:val="TDC1"/>
              <w:jc w:val="center"/>
              <w:rPr>
                <w:b/>
                <w:sz w:val="20"/>
                <w:szCs w:val="20"/>
              </w:rPr>
            </w:pPr>
            <w:r w:rsidRPr="004E654A">
              <w:rPr>
                <w:b/>
                <w:sz w:val="20"/>
                <w:szCs w:val="20"/>
              </w:rPr>
              <w:t>Área responsable</w:t>
            </w:r>
          </w:p>
        </w:tc>
        <w:tc>
          <w:tcPr>
            <w:tcW w:w="3402" w:type="dxa"/>
            <w:gridSpan w:val="4"/>
            <w:shd w:val="clear" w:color="auto" w:fill="6C0000"/>
            <w:vAlign w:val="center"/>
          </w:tcPr>
          <w:p w:rsidR="002C0A94" w:rsidRPr="004E654A" w:rsidRDefault="002C0A94" w:rsidP="00AE0DA2">
            <w:pPr>
              <w:pStyle w:val="TDC1"/>
              <w:jc w:val="center"/>
              <w:rPr>
                <w:b/>
                <w:sz w:val="20"/>
                <w:szCs w:val="20"/>
              </w:rPr>
            </w:pPr>
            <w:r w:rsidRPr="004E654A">
              <w:rPr>
                <w:b/>
                <w:sz w:val="20"/>
                <w:szCs w:val="20"/>
              </w:rPr>
              <w:t>Trimestre</w:t>
            </w:r>
          </w:p>
        </w:tc>
      </w:tr>
      <w:tr w:rsidR="002C0A94" w:rsidRPr="00C021EA" w:rsidTr="00AE0DA2">
        <w:trPr>
          <w:trHeight w:val="169"/>
        </w:trPr>
        <w:tc>
          <w:tcPr>
            <w:tcW w:w="8789" w:type="dxa"/>
            <w:vMerge/>
            <w:shd w:val="clear" w:color="auto" w:fill="6C0000"/>
            <w:vAlign w:val="center"/>
          </w:tcPr>
          <w:p w:rsidR="002C0A94" w:rsidRPr="00C021EA" w:rsidRDefault="002C0A94" w:rsidP="00AE0DA2">
            <w:pPr>
              <w:pStyle w:val="TDC1"/>
              <w:jc w:val="center"/>
              <w:rPr>
                <w:b/>
              </w:rPr>
            </w:pPr>
          </w:p>
        </w:tc>
        <w:tc>
          <w:tcPr>
            <w:tcW w:w="1696" w:type="dxa"/>
            <w:vMerge/>
            <w:shd w:val="clear" w:color="auto" w:fill="6C0000"/>
            <w:vAlign w:val="center"/>
          </w:tcPr>
          <w:p w:rsidR="002C0A94" w:rsidRPr="00C021EA" w:rsidRDefault="002C0A94" w:rsidP="00AE0DA2">
            <w:pPr>
              <w:pStyle w:val="TDC1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6C0000"/>
            <w:vAlign w:val="center"/>
          </w:tcPr>
          <w:p w:rsidR="002C0A94" w:rsidRPr="00C021EA" w:rsidRDefault="002C0A94" w:rsidP="00AE0DA2">
            <w:pPr>
              <w:pStyle w:val="TDC1"/>
              <w:jc w:val="center"/>
              <w:rPr>
                <w:b/>
              </w:rPr>
            </w:pPr>
            <w:r w:rsidRPr="00C021EA">
              <w:rPr>
                <w:b/>
              </w:rPr>
              <w:t>Enero -marzo</w:t>
            </w:r>
          </w:p>
        </w:tc>
        <w:tc>
          <w:tcPr>
            <w:tcW w:w="851" w:type="dxa"/>
            <w:shd w:val="clear" w:color="auto" w:fill="6C0000"/>
            <w:vAlign w:val="center"/>
          </w:tcPr>
          <w:p w:rsidR="002C0A94" w:rsidRPr="00C021EA" w:rsidRDefault="002C0A94" w:rsidP="00AE0DA2">
            <w:pPr>
              <w:pStyle w:val="TDC1"/>
              <w:jc w:val="center"/>
              <w:rPr>
                <w:b/>
              </w:rPr>
            </w:pPr>
            <w:r w:rsidRPr="00C021EA">
              <w:rPr>
                <w:b/>
              </w:rPr>
              <w:t>Abril -junio</w:t>
            </w:r>
          </w:p>
        </w:tc>
        <w:tc>
          <w:tcPr>
            <w:tcW w:w="850" w:type="dxa"/>
            <w:shd w:val="clear" w:color="auto" w:fill="6C0000"/>
            <w:vAlign w:val="center"/>
          </w:tcPr>
          <w:p w:rsidR="002C0A94" w:rsidRPr="00C021EA" w:rsidRDefault="002C0A94" w:rsidP="00AE0DA2">
            <w:pPr>
              <w:pStyle w:val="TDC1"/>
              <w:jc w:val="center"/>
              <w:rPr>
                <w:b/>
              </w:rPr>
            </w:pPr>
            <w:r w:rsidRPr="00C021EA">
              <w:rPr>
                <w:b/>
              </w:rPr>
              <w:t>Julio -sept</w:t>
            </w:r>
          </w:p>
        </w:tc>
        <w:tc>
          <w:tcPr>
            <w:tcW w:w="851" w:type="dxa"/>
            <w:shd w:val="clear" w:color="auto" w:fill="6C0000"/>
            <w:vAlign w:val="center"/>
          </w:tcPr>
          <w:p w:rsidR="002C0A94" w:rsidRPr="00C021EA" w:rsidRDefault="002C0A94" w:rsidP="00AE0DA2">
            <w:pPr>
              <w:pStyle w:val="TDC1"/>
              <w:jc w:val="center"/>
              <w:rPr>
                <w:b/>
              </w:rPr>
            </w:pPr>
            <w:r w:rsidRPr="00C021EA">
              <w:rPr>
                <w:b/>
              </w:rPr>
              <w:t>Octubre-dic</w:t>
            </w:r>
          </w:p>
        </w:tc>
      </w:tr>
      <w:tr w:rsidR="002C0A94" w:rsidRPr="006371FD" w:rsidTr="00AE0DA2">
        <w:trPr>
          <w:trHeight w:val="108"/>
        </w:trPr>
        <w:tc>
          <w:tcPr>
            <w:tcW w:w="8789" w:type="dxa"/>
          </w:tcPr>
          <w:p w:rsidR="002C0A94" w:rsidRPr="006371FD" w:rsidRDefault="002C0A94" w:rsidP="00AE0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Conclusión del Programa Municipal de Desarrollo Urbano (PDMU) Lagos de Moreno (ajuste con el Plan de Desarrollo Urbano de Centro de Población (PDUCP)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UGMA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</w:tr>
      <w:tr w:rsidR="002C0A94" w:rsidRPr="006371FD" w:rsidTr="00AE0DA2">
        <w:trPr>
          <w:trHeight w:val="168"/>
        </w:trPr>
        <w:tc>
          <w:tcPr>
            <w:tcW w:w="8789" w:type="dxa"/>
          </w:tcPr>
          <w:p w:rsidR="002C0A94" w:rsidRPr="006371FD" w:rsidRDefault="002C0A94" w:rsidP="00AE0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Configuración de almacenamiento en servidores del IIEG para entrega-recepción.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UTI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FFFFFF" w:themeFill="background1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FFFFFF" w:themeFill="background1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FFFFFF" w:themeFill="background1"/>
          </w:tcPr>
          <w:p w:rsidR="002C0A94" w:rsidRPr="006371FD" w:rsidRDefault="002C0A94" w:rsidP="00AE0DA2">
            <w:pPr>
              <w:pStyle w:val="TDC1"/>
            </w:pPr>
          </w:p>
        </w:tc>
      </w:tr>
      <w:tr w:rsidR="002C0A94" w:rsidRPr="006371FD" w:rsidTr="00AE0DA2">
        <w:trPr>
          <w:trHeight w:val="70"/>
        </w:trPr>
        <w:tc>
          <w:tcPr>
            <w:tcW w:w="8789" w:type="dxa"/>
          </w:tcPr>
          <w:p w:rsidR="002C0A94" w:rsidRPr="006371FD" w:rsidRDefault="002C0A94" w:rsidP="00AE0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Continuación con el estudio de Zona de Recuperación Ambiental El Tajo.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UGMA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bookmarkStart w:id="1" w:name="_GoBack"/>
        <w:bookmarkEnd w:id="1"/>
      </w:tr>
      <w:tr w:rsidR="002C0A94" w:rsidRPr="006371FD" w:rsidTr="00AE0DA2">
        <w:trPr>
          <w:trHeight w:val="183"/>
        </w:trPr>
        <w:tc>
          <w:tcPr>
            <w:tcW w:w="8789" w:type="dxa"/>
            <w:vAlign w:val="center"/>
          </w:tcPr>
          <w:p w:rsidR="002C0A94" w:rsidRPr="006371FD" w:rsidRDefault="002C0A94" w:rsidP="00AE0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Continuación con el Estudio y Análisis de los ingresos salariales en el Estado de Jalisco en coordinación con investigadores.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UEF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</w:tr>
      <w:tr w:rsidR="002C0A94" w:rsidRPr="006371FD" w:rsidTr="00AE0DA2">
        <w:trPr>
          <w:trHeight w:val="70"/>
        </w:trPr>
        <w:tc>
          <w:tcPr>
            <w:tcW w:w="8789" w:type="dxa"/>
            <w:vAlign w:val="center"/>
          </w:tcPr>
          <w:p w:rsidR="002C0A94" w:rsidRPr="006371FD" w:rsidRDefault="002C0A94" w:rsidP="00936EE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 xml:space="preserve">Continuación </w:t>
            </w:r>
            <w:r w:rsidR="00936EE3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 xml:space="preserve"> trabajos y Proyectos de Análisis Prospectivo y Proyección. Concretar estancias académicas para análisis econométrico y de </w:t>
            </w:r>
            <w:r w:rsidRPr="006371FD">
              <w:rPr>
                <w:rFonts w:asciiTheme="minorHAnsi" w:hAnsiTheme="minorHAnsi" w:cstheme="minorHAnsi"/>
                <w:i/>
                <w:sz w:val="18"/>
                <w:szCs w:val="18"/>
              </w:rPr>
              <w:t>Machine Learning</w:t>
            </w: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 xml:space="preserve"> con ITESO, UAG , el EGADE ITESM y UP.</w:t>
            </w:r>
          </w:p>
        </w:tc>
        <w:tc>
          <w:tcPr>
            <w:tcW w:w="1696" w:type="dxa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UEF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B33A39">
            <w:pPr>
              <w:spacing w:beforeLines="20" w:before="48" w:after="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Continuación de la colaboración en la integración de información.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spacing w:beforeLines="20" w:before="48" w:after="20"/>
              <w:jc w:val="center"/>
            </w:pPr>
            <w:r w:rsidRPr="006371FD">
              <w:t>UGMA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B33A39">
            <w:pPr>
              <w:pStyle w:val="TDC1"/>
              <w:spacing w:beforeLines="20" w:before="48" w:after="20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B33A39">
            <w:pPr>
              <w:pStyle w:val="TDC1"/>
              <w:spacing w:beforeLines="20" w:before="48" w:after="20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B33A39">
            <w:pPr>
              <w:pStyle w:val="TDC1"/>
              <w:spacing w:beforeLines="20" w:before="48" w:after="20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B33A39">
            <w:pPr>
              <w:pStyle w:val="TDC1"/>
              <w:spacing w:beforeLines="20" w:before="48" w:after="20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6371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Continuación de la elaboración de evaluaciones de sitios de disposición final de residuos sólidos con base en la NOM-083-SEMARNAT-2003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UGMA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B33A39">
            <w:pPr>
              <w:spacing w:beforeLines="20" w:before="48" w:after="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Continuación de la participación en el grupo de trabajo de Monitoreo, Reporte y Verificación (MRV)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spacing w:beforeLines="20" w:before="48" w:after="20"/>
              <w:jc w:val="center"/>
            </w:pPr>
            <w:r w:rsidRPr="006371FD">
              <w:t>UGMA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B33A39">
            <w:pPr>
              <w:pStyle w:val="TDC1"/>
              <w:spacing w:beforeLines="20" w:before="48" w:after="20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B33A39">
            <w:pPr>
              <w:pStyle w:val="TDC1"/>
              <w:spacing w:beforeLines="20" w:before="48" w:after="20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B33A39">
            <w:pPr>
              <w:pStyle w:val="TDC1"/>
              <w:spacing w:beforeLines="20" w:before="48" w:after="20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B33A39">
            <w:pPr>
              <w:pStyle w:val="TDC1"/>
              <w:spacing w:beforeLines="20" w:before="48" w:after="20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B33A39">
            <w:pPr>
              <w:spacing w:beforeLines="20" w:before="48" w:after="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Continuación de la participación en el grupo de trabajo REDD+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spacing w:beforeLines="20" w:before="48" w:after="20"/>
              <w:jc w:val="center"/>
            </w:pPr>
            <w:r w:rsidRPr="006371FD">
              <w:t>UGMA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B33A39">
            <w:pPr>
              <w:pStyle w:val="TDC1"/>
              <w:spacing w:beforeLines="20" w:before="48" w:after="20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B33A39">
            <w:pPr>
              <w:pStyle w:val="TDC1"/>
              <w:spacing w:beforeLines="20" w:before="48" w:after="20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B33A39">
            <w:pPr>
              <w:pStyle w:val="TDC1"/>
              <w:spacing w:beforeLines="20" w:before="48" w:after="20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B33A39">
            <w:pPr>
              <w:pStyle w:val="TDC1"/>
              <w:spacing w:beforeLines="20" w:before="48" w:after="20"/>
            </w:pPr>
          </w:p>
        </w:tc>
      </w:tr>
      <w:tr w:rsidR="002C0A94" w:rsidRPr="006371FD" w:rsidTr="00AE0DA2">
        <w:trPr>
          <w:trHeight w:val="70"/>
        </w:trPr>
        <w:tc>
          <w:tcPr>
            <w:tcW w:w="8789" w:type="dxa"/>
          </w:tcPr>
          <w:p w:rsidR="002C0A94" w:rsidRPr="006371FD" w:rsidRDefault="002C0A94" w:rsidP="00AE0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Continuación del análisis de cambio de uso de suelo de forestal a agrícola en otras regiones del estado, en coordinación con FIPRODEFO.</w:t>
            </w:r>
          </w:p>
        </w:tc>
        <w:tc>
          <w:tcPr>
            <w:tcW w:w="1696" w:type="dxa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UGMA</w:t>
            </w: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B33A39">
            <w:pPr>
              <w:spacing w:beforeLines="20" w:before="48" w:after="2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Continuación</w:t>
            </w:r>
            <w:r w:rsidR="00936EE3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 xml:space="preserve"> la colaboración con las Juntas Intermunicipales de Medio Ambiente.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spacing w:beforeLines="20" w:before="48" w:after="20"/>
              <w:jc w:val="center"/>
            </w:pPr>
            <w:r w:rsidRPr="006371FD">
              <w:t>UGMA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B33A39">
            <w:pPr>
              <w:pStyle w:val="TDC1"/>
              <w:spacing w:beforeLines="20" w:before="48" w:after="20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B33A39">
            <w:pPr>
              <w:pStyle w:val="TDC1"/>
              <w:spacing w:beforeLines="20" w:before="48" w:after="20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B33A39">
            <w:pPr>
              <w:pStyle w:val="TDC1"/>
              <w:spacing w:beforeLines="20" w:before="48" w:after="20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B33A39">
            <w:pPr>
              <w:pStyle w:val="TDC1"/>
              <w:spacing w:beforeLines="20" w:before="48" w:after="20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6371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Continuación</w:t>
            </w:r>
            <w:r w:rsidR="00936EE3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 xml:space="preserve"> la colaboración para tener acceso a la actualización de información de incendios y áreas con apoyos de los programas implementados por la CONAFOR.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UGMA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936EE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Coordinación de la Subcomisión del Sistema de Información del Sistema de Protección Integral de Niñas, Niños y Adolescentes (SIPINNA)</w:t>
            </w:r>
            <w:r w:rsidR="00936EE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shd w:val="clear" w:color="auto" w:fill="FFFFFF" w:themeFill="background1"/>
          </w:tcPr>
          <w:p w:rsidR="002C0A94" w:rsidRPr="006371FD" w:rsidRDefault="002C0A94" w:rsidP="005204F9">
            <w:pPr>
              <w:pStyle w:val="TDC1"/>
              <w:jc w:val="center"/>
            </w:pPr>
            <w:r>
              <w:t>Unidad Socio-demográfica (</w:t>
            </w:r>
            <w:r w:rsidRPr="006371FD">
              <w:t>USD</w:t>
            </w:r>
            <w:r>
              <w:t>)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6371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Coordinación de las sesiones informativas y capacitación solicitada por organismos empresariales y camarales a partir de la difusión del IIEG.</w:t>
            </w:r>
          </w:p>
        </w:tc>
        <w:tc>
          <w:tcPr>
            <w:tcW w:w="1696" w:type="dxa"/>
            <w:shd w:val="clear" w:color="auto" w:fill="FFFFFF" w:themeFill="background1"/>
          </w:tcPr>
          <w:p w:rsidR="002C0A94" w:rsidRPr="006371FD" w:rsidRDefault="002C0A94" w:rsidP="005204F9">
            <w:pPr>
              <w:pStyle w:val="TDC1"/>
              <w:jc w:val="center"/>
            </w:pPr>
            <w:r>
              <w:t>Coordinación del Sistema (</w:t>
            </w:r>
            <w:r w:rsidRPr="006371FD">
              <w:t>CS</w:t>
            </w:r>
            <w:r>
              <w:t>)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6371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Coordinación de SIGMA 2018.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UGMA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AE0DA2">
        <w:trPr>
          <w:trHeight w:val="200"/>
        </w:trPr>
        <w:tc>
          <w:tcPr>
            <w:tcW w:w="8789" w:type="dxa"/>
            <w:vAlign w:val="center"/>
          </w:tcPr>
          <w:p w:rsidR="002C0A94" w:rsidRPr="006371FD" w:rsidRDefault="002C0A94" w:rsidP="00AE0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 xml:space="preserve">Coordinación del Subcomité de Información Económica Financiera 2018 del CEIEG. </w:t>
            </w:r>
          </w:p>
        </w:tc>
        <w:tc>
          <w:tcPr>
            <w:tcW w:w="1696" w:type="dxa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UEF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936EE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 xml:space="preserve">Coordinación del Subcomité de Información sociodemográfica del CEIEG. </w:t>
            </w:r>
          </w:p>
        </w:tc>
        <w:tc>
          <w:tcPr>
            <w:tcW w:w="1696" w:type="dxa"/>
            <w:shd w:val="clear" w:color="auto" w:fill="FFFFFF" w:themeFill="background1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USD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6371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Coordinación y asistencia técnica y metodológica, supervisión y validación de los trabajos de sismos, inestabilidad de laderas, hundimientos, inundaciones, peligros químicos, concentraciones masivas, contaminación de agua, suelo, aire y enjambres para el Atlas de Riesgos Metropolitano, en coordinación con IMEPLAN</w:t>
            </w:r>
            <w:r w:rsidR="00936EE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UGMA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AE0DA2">
        <w:trPr>
          <w:trHeight w:val="168"/>
        </w:trPr>
        <w:tc>
          <w:tcPr>
            <w:tcW w:w="8789" w:type="dxa"/>
          </w:tcPr>
          <w:p w:rsidR="002C0A94" w:rsidRPr="006371FD" w:rsidRDefault="002C0A94" w:rsidP="00936EE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Creación de indicadores y sistemas de información estatales y municipales</w:t>
            </w:r>
            <w:r w:rsidR="00936EE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USD</w:t>
            </w: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</w:tr>
      <w:tr w:rsidR="002C0A94" w:rsidRPr="006371FD" w:rsidTr="00AE0DA2">
        <w:trPr>
          <w:trHeight w:val="110"/>
        </w:trPr>
        <w:tc>
          <w:tcPr>
            <w:tcW w:w="8789" w:type="dxa"/>
          </w:tcPr>
          <w:p w:rsidR="002C0A94" w:rsidRPr="006371FD" w:rsidRDefault="002C0A94" w:rsidP="00AE0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Delimitación del Nivel de Aguas Máximo Extraordinario (NAME) para ubicación de infraestructura deportiva en la Laguna de Zapotlán.</w:t>
            </w:r>
          </w:p>
        </w:tc>
        <w:tc>
          <w:tcPr>
            <w:tcW w:w="1696" w:type="dxa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UGMA</w:t>
            </w: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6371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Desarrollo SIIGEM.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UTI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8161BF">
        <w:trPr>
          <w:trHeight w:val="168"/>
        </w:trPr>
        <w:tc>
          <w:tcPr>
            <w:tcW w:w="8789" w:type="dxa"/>
          </w:tcPr>
          <w:p w:rsidR="002C0A94" w:rsidRPr="006371FD" w:rsidRDefault="002C0A94" w:rsidP="006371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Difusión de productos y proyectos institucionales.</w:t>
            </w:r>
          </w:p>
        </w:tc>
        <w:tc>
          <w:tcPr>
            <w:tcW w:w="1696" w:type="dxa"/>
            <w:shd w:val="clear" w:color="auto" w:fill="FFFFFF" w:themeFill="background1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CS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FFFFFF" w:themeFill="background1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4E654A" w:rsidTr="00AE0DA2">
        <w:trPr>
          <w:trHeight w:val="169"/>
        </w:trPr>
        <w:tc>
          <w:tcPr>
            <w:tcW w:w="8789" w:type="dxa"/>
            <w:vMerge w:val="restart"/>
            <w:shd w:val="clear" w:color="auto" w:fill="6C0000"/>
            <w:vAlign w:val="center"/>
          </w:tcPr>
          <w:p w:rsidR="002C0A94" w:rsidRPr="004E654A" w:rsidRDefault="002C0A94" w:rsidP="00AE0DA2">
            <w:pPr>
              <w:pStyle w:val="TDC1"/>
              <w:jc w:val="center"/>
              <w:rPr>
                <w:b/>
                <w:sz w:val="20"/>
                <w:szCs w:val="20"/>
              </w:rPr>
            </w:pPr>
            <w:r w:rsidRPr="004E654A">
              <w:rPr>
                <w:b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1696" w:type="dxa"/>
            <w:vMerge w:val="restart"/>
            <w:shd w:val="clear" w:color="auto" w:fill="6C0000"/>
            <w:vAlign w:val="center"/>
          </w:tcPr>
          <w:p w:rsidR="002C0A94" w:rsidRPr="004E654A" w:rsidRDefault="002C0A94" w:rsidP="00AE0DA2">
            <w:pPr>
              <w:pStyle w:val="TDC1"/>
              <w:jc w:val="center"/>
              <w:rPr>
                <w:b/>
                <w:sz w:val="20"/>
                <w:szCs w:val="20"/>
              </w:rPr>
            </w:pPr>
            <w:r w:rsidRPr="004E654A">
              <w:rPr>
                <w:b/>
                <w:sz w:val="20"/>
                <w:szCs w:val="20"/>
              </w:rPr>
              <w:t>Área responsable</w:t>
            </w:r>
          </w:p>
        </w:tc>
        <w:tc>
          <w:tcPr>
            <w:tcW w:w="3402" w:type="dxa"/>
            <w:gridSpan w:val="4"/>
            <w:shd w:val="clear" w:color="auto" w:fill="6C0000"/>
            <w:vAlign w:val="center"/>
          </w:tcPr>
          <w:p w:rsidR="002C0A94" w:rsidRPr="004E654A" w:rsidRDefault="002C0A94" w:rsidP="00AE0DA2">
            <w:pPr>
              <w:pStyle w:val="TDC1"/>
              <w:jc w:val="center"/>
              <w:rPr>
                <w:b/>
                <w:sz w:val="20"/>
                <w:szCs w:val="20"/>
              </w:rPr>
            </w:pPr>
            <w:r w:rsidRPr="004E654A">
              <w:rPr>
                <w:b/>
                <w:sz w:val="20"/>
                <w:szCs w:val="20"/>
              </w:rPr>
              <w:t>Trimestre</w:t>
            </w:r>
          </w:p>
        </w:tc>
      </w:tr>
      <w:tr w:rsidR="002C0A94" w:rsidRPr="00C021EA" w:rsidTr="00AE0DA2">
        <w:trPr>
          <w:trHeight w:val="169"/>
        </w:trPr>
        <w:tc>
          <w:tcPr>
            <w:tcW w:w="8789" w:type="dxa"/>
            <w:vMerge/>
            <w:shd w:val="clear" w:color="auto" w:fill="6C0000"/>
            <w:vAlign w:val="center"/>
          </w:tcPr>
          <w:p w:rsidR="002C0A94" w:rsidRPr="00C021EA" w:rsidRDefault="002C0A94" w:rsidP="00AE0DA2">
            <w:pPr>
              <w:pStyle w:val="TDC1"/>
              <w:jc w:val="center"/>
              <w:rPr>
                <w:b/>
              </w:rPr>
            </w:pPr>
          </w:p>
        </w:tc>
        <w:tc>
          <w:tcPr>
            <w:tcW w:w="1696" w:type="dxa"/>
            <w:vMerge/>
            <w:shd w:val="clear" w:color="auto" w:fill="6C0000"/>
            <w:vAlign w:val="center"/>
          </w:tcPr>
          <w:p w:rsidR="002C0A94" w:rsidRPr="00C021EA" w:rsidRDefault="002C0A94" w:rsidP="00AE0DA2">
            <w:pPr>
              <w:pStyle w:val="TDC1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6C0000"/>
            <w:vAlign w:val="center"/>
          </w:tcPr>
          <w:p w:rsidR="002C0A94" w:rsidRPr="00C021EA" w:rsidRDefault="002C0A94" w:rsidP="00AE0DA2">
            <w:pPr>
              <w:pStyle w:val="TDC1"/>
              <w:jc w:val="center"/>
              <w:rPr>
                <w:b/>
              </w:rPr>
            </w:pPr>
            <w:r w:rsidRPr="00C021EA">
              <w:rPr>
                <w:b/>
              </w:rPr>
              <w:t>Enero -marzo</w:t>
            </w:r>
          </w:p>
        </w:tc>
        <w:tc>
          <w:tcPr>
            <w:tcW w:w="851" w:type="dxa"/>
            <w:shd w:val="clear" w:color="auto" w:fill="6C0000"/>
            <w:vAlign w:val="center"/>
          </w:tcPr>
          <w:p w:rsidR="002C0A94" w:rsidRPr="00C021EA" w:rsidRDefault="002C0A94" w:rsidP="00AE0DA2">
            <w:pPr>
              <w:pStyle w:val="TDC1"/>
              <w:jc w:val="center"/>
              <w:rPr>
                <w:b/>
              </w:rPr>
            </w:pPr>
            <w:r w:rsidRPr="00C021EA">
              <w:rPr>
                <w:b/>
              </w:rPr>
              <w:t>Abril -junio</w:t>
            </w:r>
          </w:p>
        </w:tc>
        <w:tc>
          <w:tcPr>
            <w:tcW w:w="850" w:type="dxa"/>
            <w:shd w:val="clear" w:color="auto" w:fill="6C0000"/>
            <w:vAlign w:val="center"/>
          </w:tcPr>
          <w:p w:rsidR="002C0A94" w:rsidRPr="00C021EA" w:rsidRDefault="002C0A94" w:rsidP="00AE0DA2">
            <w:pPr>
              <w:pStyle w:val="TDC1"/>
              <w:jc w:val="center"/>
              <w:rPr>
                <w:b/>
              </w:rPr>
            </w:pPr>
            <w:r w:rsidRPr="00C021EA">
              <w:rPr>
                <w:b/>
              </w:rPr>
              <w:t>Julio -sept</w:t>
            </w:r>
          </w:p>
        </w:tc>
        <w:tc>
          <w:tcPr>
            <w:tcW w:w="851" w:type="dxa"/>
            <w:shd w:val="clear" w:color="auto" w:fill="6C0000"/>
            <w:vAlign w:val="center"/>
          </w:tcPr>
          <w:p w:rsidR="002C0A94" w:rsidRPr="00C021EA" w:rsidRDefault="002C0A94" w:rsidP="00AE0DA2">
            <w:pPr>
              <w:pStyle w:val="TDC1"/>
              <w:jc w:val="center"/>
              <w:rPr>
                <w:b/>
              </w:rPr>
            </w:pPr>
            <w:r w:rsidRPr="00C021EA">
              <w:rPr>
                <w:b/>
              </w:rPr>
              <w:t>Octubre-dic</w:t>
            </w:r>
          </w:p>
        </w:tc>
      </w:tr>
      <w:tr w:rsidR="002C0A94" w:rsidRPr="006371FD" w:rsidTr="008161BF">
        <w:trPr>
          <w:trHeight w:val="168"/>
        </w:trPr>
        <w:tc>
          <w:tcPr>
            <w:tcW w:w="8789" w:type="dxa"/>
          </w:tcPr>
          <w:p w:rsidR="002C0A94" w:rsidRPr="006371FD" w:rsidRDefault="002C0A94" w:rsidP="006371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Difusión derivada de Premios obtenidos a partir de las inscripciones en convocatorias.</w:t>
            </w:r>
          </w:p>
        </w:tc>
        <w:tc>
          <w:tcPr>
            <w:tcW w:w="1696" w:type="dxa"/>
            <w:shd w:val="clear" w:color="auto" w:fill="FFFFFF" w:themeFill="background1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CS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FFFFFF" w:themeFill="background1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8161BF">
        <w:trPr>
          <w:trHeight w:val="168"/>
        </w:trPr>
        <w:tc>
          <w:tcPr>
            <w:tcW w:w="8789" w:type="dxa"/>
          </w:tcPr>
          <w:p w:rsidR="002C0A94" w:rsidRPr="006371FD" w:rsidRDefault="002C0A94" w:rsidP="006371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Difusión derivada del Premio Mundial a la Excelencia Geoespacial.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CS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FFFFFF" w:themeFill="background1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AE0DA2">
        <w:trPr>
          <w:trHeight w:val="70"/>
        </w:trPr>
        <w:tc>
          <w:tcPr>
            <w:tcW w:w="8789" w:type="dxa"/>
          </w:tcPr>
          <w:p w:rsidR="002C0A94" w:rsidRPr="006371FD" w:rsidRDefault="002C0A94" w:rsidP="00AE0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Elaboración de la séptima y octava edición del Estudio de Expectativas Económicas del Sector Privado Jalisciense 2018 S1 y 2018 S2.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UEF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AE0DA2">
            <w:pPr>
              <w:pStyle w:val="TDC1"/>
            </w:pPr>
          </w:p>
        </w:tc>
      </w:tr>
      <w:tr w:rsidR="002C0A94" w:rsidRPr="006371FD" w:rsidTr="00AC5205">
        <w:trPr>
          <w:trHeight w:val="168"/>
        </w:trPr>
        <w:tc>
          <w:tcPr>
            <w:tcW w:w="8789" w:type="dxa"/>
            <w:vAlign w:val="center"/>
          </w:tcPr>
          <w:p w:rsidR="002C0A94" w:rsidRPr="006371FD" w:rsidRDefault="00936EE3" w:rsidP="00C021EA">
            <w:pPr>
              <w:pStyle w:val="TDC1"/>
            </w:pPr>
            <w:r>
              <w:t xml:space="preserve">  </w:t>
            </w:r>
            <w:r w:rsidR="002C0A94">
              <w:t>E</w:t>
            </w:r>
            <w:r w:rsidR="002C0A94" w:rsidRPr="006371FD">
              <w:t>strategia de Centros de Datos para Investigación de la Universidad de Guadalajara.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UTI (coordina), UEF, UGMA, UGSJ, USD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6371FD">
        <w:trPr>
          <w:trHeight w:val="70"/>
        </w:trPr>
        <w:tc>
          <w:tcPr>
            <w:tcW w:w="8789" w:type="dxa"/>
          </w:tcPr>
          <w:p w:rsidR="002C0A94" w:rsidRPr="006371FD" w:rsidRDefault="002C0A94" w:rsidP="006371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Estudio de arbolado urbano en conjunto con FIPRODEFO. Etapa de identificación de coberturas de áreas verdes del AMG (Primer trimestre); Etapa de revisión de normatividad en materia de arbolado urbano (segundo trimestre); Etapa de diagnóstico de capacidades institucionales de las dependencias de parques y jardines(Tercer trimestre); Etapa de conclusión de ordenamiento de áreas verdes urbanas (cuarto trimestre).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UGMA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AE0DA2">
        <w:trPr>
          <w:trHeight w:val="70"/>
        </w:trPr>
        <w:tc>
          <w:tcPr>
            <w:tcW w:w="8789" w:type="dxa"/>
          </w:tcPr>
          <w:p w:rsidR="002C0A94" w:rsidRPr="006371FD" w:rsidRDefault="002C0A94" w:rsidP="00AE0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Firma de convenio C</w:t>
            </w:r>
            <w:r w:rsidR="006D552E">
              <w:rPr>
                <w:rFonts w:asciiTheme="minorHAnsi" w:hAnsiTheme="minorHAnsi" w:cstheme="minorHAnsi"/>
                <w:sz w:val="18"/>
                <w:szCs w:val="18"/>
              </w:rPr>
              <w:t>onsejo Agropecuario de Jalisco (C</w:t>
            </w: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AJ</w:t>
            </w:r>
            <w:r w:rsidR="006D552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-IIEG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UEF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6371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Generación de cambios en materia de seguridad en los Sistemas y Portales actuales.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UTI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6371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Generación de capas de información MXSIG.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UTI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936EE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E437C">
              <w:rPr>
                <w:rFonts w:asciiTheme="minorHAnsi" w:hAnsiTheme="minorHAnsi" w:cstheme="minorHAnsi"/>
                <w:sz w:val="18"/>
                <w:szCs w:val="18"/>
              </w:rPr>
              <w:t>Generación de fichas técnicas, notas e infografías relevantes relacionadas con temas de gobierno, seguridad pública y justica. </w:t>
            </w:r>
          </w:p>
        </w:tc>
        <w:tc>
          <w:tcPr>
            <w:tcW w:w="1696" w:type="dxa"/>
            <w:shd w:val="clear" w:color="auto" w:fill="FFFFFF" w:themeFill="background1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UGSJ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AE0DA2">
        <w:trPr>
          <w:trHeight w:val="70"/>
        </w:trPr>
        <w:tc>
          <w:tcPr>
            <w:tcW w:w="8789" w:type="dxa"/>
          </w:tcPr>
          <w:p w:rsidR="002C0A94" w:rsidRPr="006371FD" w:rsidRDefault="002C0A94" w:rsidP="00AE0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Generación de información y elaboración de análisis para soporte de la determinación de la expectativa de generación de empleo formal 2018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UEF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6371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Generación y publicación de información de la antena Geodésica.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UTI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6371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Gestión de cubos de información con las áreas especializadas.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UTI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936EE3">
        <w:trPr>
          <w:trHeight w:val="168"/>
        </w:trPr>
        <w:tc>
          <w:tcPr>
            <w:tcW w:w="8789" w:type="dxa"/>
          </w:tcPr>
          <w:p w:rsidR="002C0A94" w:rsidRPr="006371FD" w:rsidRDefault="002C0A94" w:rsidP="00936EE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 xml:space="preserve">Inclusión de capas georreferenciadas sobre la población indígena y los indicadores SIPINNA para los sistemas municipales. 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936EE3">
            <w:pPr>
              <w:pStyle w:val="TDC1"/>
              <w:jc w:val="center"/>
            </w:pPr>
            <w:r w:rsidRPr="006371FD">
              <w:t>USD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</w:tr>
      <w:tr w:rsidR="002C0A94" w:rsidRPr="006371FD" w:rsidTr="00936EE3">
        <w:trPr>
          <w:trHeight w:val="168"/>
        </w:trPr>
        <w:tc>
          <w:tcPr>
            <w:tcW w:w="8789" w:type="dxa"/>
          </w:tcPr>
          <w:p w:rsidR="002C0A94" w:rsidRPr="006371FD" w:rsidRDefault="002C0A94" w:rsidP="00936EE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Inclusión en el Mapa General de Jalisco de las capas georreferenciadas por la Secretaría de Cultura.   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936EE3">
            <w:pPr>
              <w:pStyle w:val="TDC1"/>
              <w:jc w:val="center"/>
            </w:pPr>
            <w:r w:rsidRPr="006371FD">
              <w:t>USD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</w:tr>
      <w:tr w:rsidR="002C0A94" w:rsidRPr="006371FD" w:rsidTr="00936EE3">
        <w:trPr>
          <w:trHeight w:val="168"/>
        </w:trPr>
        <w:tc>
          <w:tcPr>
            <w:tcW w:w="8789" w:type="dxa"/>
          </w:tcPr>
          <w:p w:rsidR="002C0A94" w:rsidRPr="006371FD" w:rsidRDefault="002C0A94" w:rsidP="00936EE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E437C">
              <w:rPr>
                <w:rFonts w:asciiTheme="minorHAnsi" w:hAnsiTheme="minorHAnsi" w:cstheme="minorHAnsi"/>
                <w:sz w:val="18"/>
                <w:szCs w:val="18"/>
              </w:rPr>
              <w:t>Inclusión y actualización de capas en el Mapa General de Jalisco con estadísticas del Instituto Jalisciense de Ciencias Forenses y de la Fiscalía General del Estado</w:t>
            </w:r>
            <w:r w:rsidR="00936EE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vAlign w:val="center"/>
          </w:tcPr>
          <w:p w:rsidR="002C0A94" w:rsidRPr="006371FD" w:rsidRDefault="002C0A94" w:rsidP="00936EE3">
            <w:pPr>
              <w:pStyle w:val="TDC1"/>
              <w:jc w:val="center"/>
            </w:pPr>
            <w:r w:rsidRPr="006371FD">
              <w:t>UGSJ</w:t>
            </w: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AE0DA2">
            <w:pPr>
              <w:pStyle w:val="TDC1"/>
            </w:pPr>
          </w:p>
        </w:tc>
      </w:tr>
      <w:tr w:rsidR="002C0A94" w:rsidRPr="006371FD" w:rsidTr="00936EE3">
        <w:trPr>
          <w:trHeight w:val="168"/>
        </w:trPr>
        <w:tc>
          <w:tcPr>
            <w:tcW w:w="8789" w:type="dxa"/>
          </w:tcPr>
          <w:p w:rsidR="002C0A94" w:rsidRPr="006371FD" w:rsidRDefault="002C0A94" w:rsidP="006371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Incremento de datos abiertos</w:t>
            </w:r>
            <w:r w:rsidR="006D552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936EE3">
            <w:pPr>
              <w:pStyle w:val="TDC1"/>
              <w:jc w:val="center"/>
            </w:pPr>
            <w:r w:rsidRPr="006371FD">
              <w:t>UGMA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936EE3">
        <w:trPr>
          <w:trHeight w:val="168"/>
        </w:trPr>
        <w:tc>
          <w:tcPr>
            <w:tcW w:w="8789" w:type="dxa"/>
          </w:tcPr>
          <w:p w:rsidR="002C0A94" w:rsidRPr="006371FD" w:rsidRDefault="002C0A94" w:rsidP="006371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Integración de casos de éxito para presentación en convocatorias Nacionales e Internacionales de TI.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936EE3">
            <w:pPr>
              <w:pStyle w:val="TDC1"/>
              <w:jc w:val="center"/>
            </w:pPr>
            <w:r w:rsidRPr="006371FD">
              <w:t>UTI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6371FD">
        <w:trPr>
          <w:trHeight w:val="178"/>
        </w:trPr>
        <w:tc>
          <w:tcPr>
            <w:tcW w:w="8789" w:type="dxa"/>
            <w:vAlign w:val="center"/>
          </w:tcPr>
          <w:p w:rsidR="002C0A94" w:rsidRPr="006371FD" w:rsidRDefault="002C0A94" w:rsidP="006371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Integración en plataformas, entrega y difusión de información en el marco de la Ley General de Transparencia y Acceso a la Información Pública</w:t>
            </w:r>
            <w:r w:rsidR="006D552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165EB4">
              <w:t>IIEG</w:t>
            </w:r>
            <w:r w:rsidRPr="006371FD">
              <w:rPr>
                <w:b/>
              </w:rPr>
              <w:t xml:space="preserve"> </w:t>
            </w:r>
            <w:r w:rsidR="00165EB4">
              <w:t>(</w:t>
            </w:r>
            <w:r w:rsidRPr="006371FD">
              <w:t>Jur</w:t>
            </w:r>
            <w:r w:rsidR="00165EB4">
              <w:t>ídico, CS, DG, Administración</w:t>
            </w:r>
            <w:r w:rsidRPr="006371FD">
              <w:t>)</w:t>
            </w: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6371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Integración, Actualización y Publicación de Datos Abiertos.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UTI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6371FD">
        <w:trPr>
          <w:trHeight w:val="183"/>
        </w:trPr>
        <w:tc>
          <w:tcPr>
            <w:tcW w:w="8789" w:type="dxa"/>
            <w:vAlign w:val="center"/>
          </w:tcPr>
          <w:p w:rsidR="002C0A94" w:rsidRPr="006371FD" w:rsidRDefault="002C0A94" w:rsidP="006371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Marco Integrado de Control Interno.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  <w:rPr>
                <w:b/>
              </w:rPr>
            </w:pPr>
            <w:r w:rsidRPr="005204F9">
              <w:t>IIEG</w:t>
            </w:r>
            <w:r w:rsidRPr="006371FD">
              <w:rPr>
                <w:b/>
              </w:rPr>
              <w:t xml:space="preserve"> </w:t>
            </w:r>
            <w:r w:rsidRPr="006371FD">
              <w:t>(coordina órgano Interno de Control y Vigilancia- OICV)</w:t>
            </w: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AE0DA2">
        <w:trPr>
          <w:trHeight w:val="168"/>
        </w:trPr>
        <w:tc>
          <w:tcPr>
            <w:tcW w:w="8789" w:type="dxa"/>
          </w:tcPr>
          <w:p w:rsidR="002C0A94" w:rsidRPr="006371FD" w:rsidRDefault="002C0A94" w:rsidP="00AE0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Observancia de la veda electoral.</w:t>
            </w:r>
          </w:p>
        </w:tc>
        <w:tc>
          <w:tcPr>
            <w:tcW w:w="1696" w:type="dxa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CS</w:t>
            </w: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</w:tr>
      <w:tr w:rsidR="002C0A94" w:rsidRPr="004E654A" w:rsidTr="00AE0DA2">
        <w:trPr>
          <w:trHeight w:val="169"/>
        </w:trPr>
        <w:tc>
          <w:tcPr>
            <w:tcW w:w="8789" w:type="dxa"/>
            <w:vMerge w:val="restart"/>
            <w:shd w:val="clear" w:color="auto" w:fill="6C0000"/>
            <w:vAlign w:val="center"/>
          </w:tcPr>
          <w:p w:rsidR="002C0A94" w:rsidRPr="004E654A" w:rsidRDefault="002C0A94" w:rsidP="00AE0DA2">
            <w:pPr>
              <w:pStyle w:val="TDC1"/>
              <w:jc w:val="center"/>
              <w:rPr>
                <w:b/>
                <w:sz w:val="20"/>
                <w:szCs w:val="20"/>
              </w:rPr>
            </w:pPr>
            <w:r w:rsidRPr="004E654A">
              <w:rPr>
                <w:b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1696" w:type="dxa"/>
            <w:vMerge w:val="restart"/>
            <w:shd w:val="clear" w:color="auto" w:fill="6C0000"/>
            <w:vAlign w:val="center"/>
          </w:tcPr>
          <w:p w:rsidR="002C0A94" w:rsidRPr="004E654A" w:rsidRDefault="002C0A94" w:rsidP="00AE0DA2">
            <w:pPr>
              <w:pStyle w:val="TDC1"/>
              <w:jc w:val="center"/>
              <w:rPr>
                <w:b/>
                <w:sz w:val="20"/>
                <w:szCs w:val="20"/>
              </w:rPr>
            </w:pPr>
            <w:r w:rsidRPr="004E654A">
              <w:rPr>
                <w:b/>
                <w:sz w:val="20"/>
                <w:szCs w:val="20"/>
              </w:rPr>
              <w:t>Área responsable</w:t>
            </w:r>
          </w:p>
        </w:tc>
        <w:tc>
          <w:tcPr>
            <w:tcW w:w="3402" w:type="dxa"/>
            <w:gridSpan w:val="4"/>
            <w:shd w:val="clear" w:color="auto" w:fill="6C0000"/>
            <w:vAlign w:val="center"/>
          </w:tcPr>
          <w:p w:rsidR="002C0A94" w:rsidRPr="004E654A" w:rsidRDefault="002C0A94" w:rsidP="00AE0DA2">
            <w:pPr>
              <w:pStyle w:val="TDC1"/>
              <w:jc w:val="center"/>
              <w:rPr>
                <w:b/>
                <w:sz w:val="20"/>
                <w:szCs w:val="20"/>
              </w:rPr>
            </w:pPr>
            <w:r w:rsidRPr="004E654A">
              <w:rPr>
                <w:b/>
                <w:sz w:val="20"/>
                <w:szCs w:val="20"/>
              </w:rPr>
              <w:t>Trimestre</w:t>
            </w:r>
          </w:p>
        </w:tc>
      </w:tr>
      <w:tr w:rsidR="002C0A94" w:rsidRPr="00C021EA" w:rsidTr="00AE0DA2">
        <w:trPr>
          <w:trHeight w:val="169"/>
        </w:trPr>
        <w:tc>
          <w:tcPr>
            <w:tcW w:w="8789" w:type="dxa"/>
            <w:vMerge/>
            <w:shd w:val="clear" w:color="auto" w:fill="6C0000"/>
            <w:vAlign w:val="center"/>
          </w:tcPr>
          <w:p w:rsidR="002C0A94" w:rsidRPr="00C021EA" w:rsidRDefault="002C0A94" w:rsidP="00AE0DA2">
            <w:pPr>
              <w:pStyle w:val="TDC1"/>
              <w:jc w:val="center"/>
              <w:rPr>
                <w:b/>
              </w:rPr>
            </w:pPr>
          </w:p>
        </w:tc>
        <w:tc>
          <w:tcPr>
            <w:tcW w:w="1696" w:type="dxa"/>
            <w:vMerge/>
            <w:shd w:val="clear" w:color="auto" w:fill="6C0000"/>
            <w:vAlign w:val="center"/>
          </w:tcPr>
          <w:p w:rsidR="002C0A94" w:rsidRPr="00C021EA" w:rsidRDefault="002C0A94" w:rsidP="00AE0DA2">
            <w:pPr>
              <w:pStyle w:val="TDC1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6C0000"/>
            <w:vAlign w:val="center"/>
          </w:tcPr>
          <w:p w:rsidR="002C0A94" w:rsidRPr="00C021EA" w:rsidRDefault="002C0A94" w:rsidP="00AE0DA2">
            <w:pPr>
              <w:pStyle w:val="TDC1"/>
              <w:jc w:val="center"/>
              <w:rPr>
                <w:b/>
              </w:rPr>
            </w:pPr>
            <w:r w:rsidRPr="00C021EA">
              <w:rPr>
                <w:b/>
              </w:rPr>
              <w:t>Enero -marzo</w:t>
            </w:r>
          </w:p>
        </w:tc>
        <w:tc>
          <w:tcPr>
            <w:tcW w:w="851" w:type="dxa"/>
            <w:shd w:val="clear" w:color="auto" w:fill="6C0000"/>
            <w:vAlign w:val="center"/>
          </w:tcPr>
          <w:p w:rsidR="002C0A94" w:rsidRPr="00C021EA" w:rsidRDefault="002C0A94" w:rsidP="00AE0DA2">
            <w:pPr>
              <w:pStyle w:val="TDC1"/>
              <w:jc w:val="center"/>
              <w:rPr>
                <w:b/>
              </w:rPr>
            </w:pPr>
            <w:r w:rsidRPr="00C021EA">
              <w:rPr>
                <w:b/>
              </w:rPr>
              <w:t>Abril -junio</w:t>
            </w:r>
          </w:p>
        </w:tc>
        <w:tc>
          <w:tcPr>
            <w:tcW w:w="850" w:type="dxa"/>
            <w:shd w:val="clear" w:color="auto" w:fill="6C0000"/>
            <w:vAlign w:val="center"/>
          </w:tcPr>
          <w:p w:rsidR="002C0A94" w:rsidRPr="00C021EA" w:rsidRDefault="002C0A94" w:rsidP="00AE0DA2">
            <w:pPr>
              <w:pStyle w:val="TDC1"/>
              <w:jc w:val="center"/>
              <w:rPr>
                <w:b/>
              </w:rPr>
            </w:pPr>
            <w:r w:rsidRPr="00C021EA">
              <w:rPr>
                <w:b/>
              </w:rPr>
              <w:t>Julio -sept</w:t>
            </w:r>
          </w:p>
        </w:tc>
        <w:tc>
          <w:tcPr>
            <w:tcW w:w="851" w:type="dxa"/>
            <w:shd w:val="clear" w:color="auto" w:fill="6C0000"/>
            <w:vAlign w:val="center"/>
          </w:tcPr>
          <w:p w:rsidR="002C0A94" w:rsidRPr="00C021EA" w:rsidRDefault="002C0A94" w:rsidP="00AE0DA2">
            <w:pPr>
              <w:pStyle w:val="TDC1"/>
              <w:jc w:val="center"/>
              <w:rPr>
                <w:b/>
              </w:rPr>
            </w:pPr>
            <w:r w:rsidRPr="00C021EA">
              <w:rPr>
                <w:b/>
              </w:rPr>
              <w:t>Octubre-dic</w:t>
            </w:r>
          </w:p>
        </w:tc>
      </w:tr>
      <w:tr w:rsidR="002C0A94" w:rsidRPr="006371FD" w:rsidTr="00AE0DA2">
        <w:trPr>
          <w:trHeight w:val="70"/>
        </w:trPr>
        <w:tc>
          <w:tcPr>
            <w:tcW w:w="8789" w:type="dxa"/>
          </w:tcPr>
          <w:p w:rsidR="002C0A94" w:rsidRPr="006371FD" w:rsidRDefault="002C0A94" w:rsidP="00AE0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 xml:space="preserve">Participación con SEDECO en las sesiones del Comité de Productividad durante 2018. </w:t>
            </w:r>
          </w:p>
        </w:tc>
        <w:tc>
          <w:tcPr>
            <w:tcW w:w="1696" w:type="dxa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UEF</w:t>
            </w: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AE0DA2">
            <w:pPr>
              <w:pStyle w:val="TDC1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6371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Participación en grupos de trabajo derivados del SIGMA 2018, en temas de resiliencia, documentación de MXSIG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UGMA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6371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Participación en las sesiones del Comité de Desarrollo Urbano y Vivienda de la Secretaría de Desarrollo Económico.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UGMA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AE0DA2">
        <w:trPr>
          <w:trHeight w:val="70"/>
        </w:trPr>
        <w:tc>
          <w:tcPr>
            <w:tcW w:w="8789" w:type="dxa"/>
          </w:tcPr>
          <w:p w:rsidR="002C0A94" w:rsidRPr="006371FD" w:rsidRDefault="002C0A94" w:rsidP="00AE0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Primera versión del inventario de turismo para el estado de Jalisco.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UGMA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</w:tr>
      <w:tr w:rsidR="002C0A94" w:rsidRPr="006371FD" w:rsidTr="006371FD">
        <w:trPr>
          <w:trHeight w:val="178"/>
        </w:trPr>
        <w:tc>
          <w:tcPr>
            <w:tcW w:w="8789" w:type="dxa"/>
            <w:vAlign w:val="center"/>
          </w:tcPr>
          <w:p w:rsidR="002C0A94" w:rsidRPr="006371FD" w:rsidRDefault="002C0A94" w:rsidP="00BA28D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Proceso de Entrega</w:t>
            </w:r>
            <w:r w:rsidR="00BA28D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Recepción</w:t>
            </w:r>
            <w:r w:rsidR="00BA28D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  <w:rPr>
                <w:b/>
              </w:rPr>
            </w:pPr>
            <w:r w:rsidRPr="002C0A94">
              <w:t xml:space="preserve">IIEG </w:t>
            </w:r>
            <w:r w:rsidRPr="006371FD">
              <w:t>(coordina OICV)</w:t>
            </w: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AE0DA2">
        <w:trPr>
          <w:trHeight w:val="70"/>
        </w:trPr>
        <w:tc>
          <w:tcPr>
            <w:tcW w:w="8789" w:type="dxa"/>
          </w:tcPr>
          <w:p w:rsidR="002C0A94" w:rsidRPr="006371FD" w:rsidRDefault="002C0A94" w:rsidP="00AE0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Publicación de un artículo en la revista Realidad, Datos y Espacio del INEGI.</w:t>
            </w:r>
          </w:p>
        </w:tc>
        <w:tc>
          <w:tcPr>
            <w:tcW w:w="1696" w:type="dxa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UGMA</w:t>
            </w: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</w:tr>
      <w:tr w:rsidR="002C0A94" w:rsidRPr="006371FD" w:rsidTr="00AE0DA2">
        <w:trPr>
          <w:trHeight w:val="168"/>
        </w:trPr>
        <w:tc>
          <w:tcPr>
            <w:tcW w:w="8789" w:type="dxa"/>
          </w:tcPr>
          <w:p w:rsidR="002C0A94" w:rsidRPr="006371FD" w:rsidRDefault="002C0A94" w:rsidP="00AE0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Publicación del libro sobre el Acuerdo de Cooperación Técnica para el Fortalecimiento de las Políticas Públicas basadas en Evidencia.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D</w:t>
            </w:r>
            <w:r>
              <w:t>irección General (D</w:t>
            </w:r>
            <w:r w:rsidRPr="006371FD">
              <w:t>G</w:t>
            </w:r>
            <w:r>
              <w:t>)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</w:tr>
      <w:tr w:rsidR="002C0A94" w:rsidRPr="006371FD" w:rsidTr="00AE0DA2">
        <w:trPr>
          <w:trHeight w:val="70"/>
        </w:trPr>
        <w:tc>
          <w:tcPr>
            <w:tcW w:w="8789" w:type="dxa"/>
          </w:tcPr>
          <w:p w:rsidR="002C0A94" w:rsidRPr="006371FD" w:rsidRDefault="002C0A94" w:rsidP="00AE0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Publicación en plataformas web del IIEG del Inventario de turismo para el estado de Jalisco.</w:t>
            </w:r>
          </w:p>
        </w:tc>
        <w:tc>
          <w:tcPr>
            <w:tcW w:w="1696" w:type="dxa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UGMA</w:t>
            </w: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</w:tr>
      <w:tr w:rsidR="002C0A94" w:rsidRPr="006371FD" w:rsidTr="00AE0DA2">
        <w:trPr>
          <w:trHeight w:val="124"/>
        </w:trPr>
        <w:tc>
          <w:tcPr>
            <w:tcW w:w="8789" w:type="dxa"/>
            <w:vAlign w:val="center"/>
          </w:tcPr>
          <w:p w:rsidR="002C0A94" w:rsidRPr="006371FD" w:rsidRDefault="002C0A94" w:rsidP="00AE0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 xml:space="preserve">Publicaciones especializadas (resultados de investigación). Publicación un artículo en la revista Realidad, Datos y Espacio del INEGI. </w:t>
            </w:r>
          </w:p>
        </w:tc>
        <w:tc>
          <w:tcPr>
            <w:tcW w:w="1696" w:type="dxa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UEF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</w:tr>
      <w:tr w:rsidR="002C0A94" w:rsidRPr="006371FD" w:rsidTr="00AE0DA2">
        <w:trPr>
          <w:trHeight w:val="116"/>
        </w:trPr>
        <w:tc>
          <w:tcPr>
            <w:tcW w:w="8789" w:type="dxa"/>
          </w:tcPr>
          <w:p w:rsidR="002C0A94" w:rsidRPr="006371FD" w:rsidRDefault="002C0A94" w:rsidP="00AE0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 xml:space="preserve">Realización análisis detallado y estadística inferencia de los resultados históricos del Estudio de Expectativas del Sector Empresarial de Jalisco.  </w:t>
            </w:r>
          </w:p>
        </w:tc>
        <w:tc>
          <w:tcPr>
            <w:tcW w:w="1696" w:type="dxa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UEF</w:t>
            </w: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</w:tr>
      <w:tr w:rsidR="002C0A94" w:rsidRPr="006371FD" w:rsidTr="00AE0DA2">
        <w:trPr>
          <w:trHeight w:val="175"/>
        </w:trPr>
        <w:tc>
          <w:tcPr>
            <w:tcW w:w="8789" w:type="dxa"/>
          </w:tcPr>
          <w:p w:rsidR="002C0A94" w:rsidRPr="006371FD" w:rsidRDefault="002C0A94" w:rsidP="00AE0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 xml:space="preserve">Realización de los Estudios de derrama económica solicitados por CANACO 2018 (Ornato Navideño y Encuentro Internacional del Mariachi). </w:t>
            </w:r>
          </w:p>
        </w:tc>
        <w:tc>
          <w:tcPr>
            <w:tcW w:w="1696" w:type="dxa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UEF</w:t>
            </w: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AE0DA2">
            <w:pPr>
              <w:pStyle w:val="TDC1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6371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Rediseño y actualización del portal del IIEG.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UTI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6371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Representación del Gobernador en el Consejo Consultivo del SNIEG para temas relativos a Gobierno, Seguridad y Justicia.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DG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6371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Representación del Gobernador en la CONAGO en la Agenda 2030.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DG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6371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Robustecimiento de la infraestructura tecnológica de almacenamiento y visualización de información.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UTI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6371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Seguimiento a la antena geodésica para que continúe siendo parte de la Red Geodésica Nacional Activa (RGNA).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UGMA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6371FD">
        <w:trPr>
          <w:trHeight w:val="168"/>
        </w:trPr>
        <w:tc>
          <w:tcPr>
            <w:tcW w:w="8789" w:type="dxa"/>
          </w:tcPr>
          <w:p w:rsidR="002C0A94" w:rsidRPr="006371FD" w:rsidRDefault="002C0A94" w:rsidP="00936EE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E437C">
              <w:rPr>
                <w:rFonts w:asciiTheme="minorHAnsi" w:hAnsiTheme="minorHAnsi" w:cstheme="minorHAnsi"/>
                <w:sz w:val="18"/>
                <w:szCs w:val="18"/>
              </w:rPr>
              <w:t>Seguimiento a las actualizaciones y atención a contratiempos en el Mapa de Seguridad, tanto en su versión Web, como en la aplicación móvil. </w:t>
            </w:r>
          </w:p>
        </w:tc>
        <w:tc>
          <w:tcPr>
            <w:tcW w:w="1696" w:type="dxa"/>
            <w:shd w:val="clear" w:color="auto" w:fill="FFFFFF" w:themeFill="background1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UGSJ</w:t>
            </w: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C021EA">
            <w:pPr>
              <w:pStyle w:val="TDC1"/>
            </w:pPr>
          </w:p>
        </w:tc>
      </w:tr>
      <w:tr w:rsidR="002C0A94" w:rsidRPr="006371FD" w:rsidTr="00AE0DA2">
        <w:trPr>
          <w:trHeight w:val="178"/>
        </w:trPr>
        <w:tc>
          <w:tcPr>
            <w:tcW w:w="8789" w:type="dxa"/>
            <w:vAlign w:val="center"/>
          </w:tcPr>
          <w:p w:rsidR="002C0A94" w:rsidRPr="006371FD" w:rsidRDefault="002C0A94" w:rsidP="00AE0DA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 xml:space="preserve">Seguimiento ante INEGI para analizar factibilidad de levantamiento en campo del módulo de preguntas planteadas por IIEG para la ENOE 2018. 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UEF</w:t>
            </w: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C0A94" w:rsidRPr="006371FD" w:rsidRDefault="002C0A94" w:rsidP="00AE0DA2">
            <w:pPr>
              <w:pStyle w:val="TDC1"/>
            </w:pPr>
          </w:p>
        </w:tc>
      </w:tr>
      <w:tr w:rsidR="002C0A94" w:rsidRPr="006371FD" w:rsidTr="00C2561F">
        <w:trPr>
          <w:trHeight w:val="178"/>
        </w:trPr>
        <w:tc>
          <w:tcPr>
            <w:tcW w:w="8789" w:type="dxa"/>
            <w:vAlign w:val="center"/>
          </w:tcPr>
          <w:p w:rsidR="002C0A94" w:rsidRPr="006371FD" w:rsidRDefault="002C0A94" w:rsidP="002C0A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Seguimiento, cálculo y actualización de m</w:t>
            </w: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etas, avances y proyecciones para 38 indicadores en la Plataforma MIDE Jalisco en la cual se realiza el monitoreo de indicadores del desarrollo estatal, más uno a cargo de SEDECO.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spacing w:beforeLines="20" w:before="48" w:after="20"/>
              <w:jc w:val="center"/>
            </w:pPr>
            <w:r>
              <w:t>IIEG - Sustantivas</w:t>
            </w: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:rsidR="002C0A94" w:rsidRPr="006371FD" w:rsidRDefault="002C0A94" w:rsidP="002C0A94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2C0A94" w:rsidRPr="006371FD" w:rsidRDefault="002C0A94" w:rsidP="002C0A94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:rsidR="002C0A94" w:rsidRPr="006371FD" w:rsidRDefault="002C0A94" w:rsidP="002C0A94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2C0A94" w:rsidRPr="006371FD" w:rsidRDefault="002C0A94" w:rsidP="002C0A94">
            <w:pPr>
              <w:pStyle w:val="TDC1"/>
            </w:pPr>
          </w:p>
        </w:tc>
      </w:tr>
      <w:tr w:rsidR="002C0A94" w:rsidRPr="006371FD" w:rsidTr="00AE0DA2">
        <w:trPr>
          <w:trHeight w:val="168"/>
        </w:trPr>
        <w:tc>
          <w:tcPr>
            <w:tcW w:w="8789" w:type="dxa"/>
          </w:tcPr>
          <w:p w:rsidR="002C0A94" w:rsidRPr="006371FD" w:rsidRDefault="002C0A94" w:rsidP="00936EE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 xml:space="preserve">Sistema de análisis de indicadores de género en una plataforma WEB y aplicaciones móviles para iOS y ANDROID. </w:t>
            </w:r>
          </w:p>
        </w:tc>
        <w:tc>
          <w:tcPr>
            <w:tcW w:w="1696" w:type="dxa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USD</w:t>
            </w: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2C0A94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2C0A94">
            <w:pPr>
              <w:pStyle w:val="TDC1"/>
            </w:pP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2C0A94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2C0A94">
            <w:pPr>
              <w:pStyle w:val="TDC1"/>
            </w:pPr>
          </w:p>
        </w:tc>
      </w:tr>
      <w:tr w:rsidR="002C0A94" w:rsidRPr="006371FD" w:rsidTr="00AE0DA2">
        <w:trPr>
          <w:trHeight w:val="103"/>
        </w:trPr>
        <w:tc>
          <w:tcPr>
            <w:tcW w:w="8789" w:type="dxa"/>
            <w:vAlign w:val="center"/>
          </w:tcPr>
          <w:p w:rsidR="002C0A94" w:rsidRPr="006371FD" w:rsidRDefault="002C0A94" w:rsidP="002C0A9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Sistema Estatal Anticorrupción</w:t>
            </w:r>
            <w:r w:rsidR="00BA28D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  <w:rPr>
                <w:b/>
              </w:rPr>
            </w:pPr>
            <w:r w:rsidRPr="002C0A94">
              <w:t xml:space="preserve">IIEG </w:t>
            </w:r>
            <w:r w:rsidRPr="006371FD">
              <w:t>(coordina OICV)</w:t>
            </w: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:rsidR="002C0A94" w:rsidRPr="006371FD" w:rsidRDefault="002C0A94" w:rsidP="002C0A94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2C0A94" w:rsidRPr="006371FD" w:rsidRDefault="002C0A94" w:rsidP="002C0A94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:rsidR="002C0A94" w:rsidRPr="006371FD" w:rsidRDefault="002C0A94" w:rsidP="002C0A94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2C0A94" w:rsidRPr="006371FD" w:rsidRDefault="002C0A94" w:rsidP="002C0A94">
            <w:pPr>
              <w:pStyle w:val="TDC1"/>
            </w:pPr>
          </w:p>
        </w:tc>
      </w:tr>
      <w:tr w:rsidR="002C0A94" w:rsidRPr="006371FD" w:rsidTr="00AE0DA2">
        <w:trPr>
          <w:trHeight w:val="168"/>
        </w:trPr>
        <w:tc>
          <w:tcPr>
            <w:tcW w:w="8789" w:type="dxa"/>
          </w:tcPr>
          <w:p w:rsidR="002C0A94" w:rsidRPr="006371FD" w:rsidRDefault="002C0A94" w:rsidP="00936EE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Taller 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ECRA</w:t>
            </w: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 xml:space="preserve"> para la Dirección de Evaluación y Seguimiento de SEDIS.</w:t>
            </w:r>
          </w:p>
        </w:tc>
        <w:tc>
          <w:tcPr>
            <w:tcW w:w="1696" w:type="dxa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USD</w:t>
            </w: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2C0A94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</w:tcPr>
          <w:p w:rsidR="002C0A94" w:rsidRPr="006371FD" w:rsidRDefault="002C0A94" w:rsidP="002C0A94">
            <w:pPr>
              <w:pStyle w:val="TDC1"/>
            </w:pPr>
          </w:p>
        </w:tc>
        <w:tc>
          <w:tcPr>
            <w:tcW w:w="850" w:type="dxa"/>
            <w:shd w:val="clear" w:color="auto" w:fill="auto"/>
          </w:tcPr>
          <w:p w:rsidR="002C0A94" w:rsidRPr="006371FD" w:rsidRDefault="002C0A94" w:rsidP="002C0A94">
            <w:pPr>
              <w:pStyle w:val="TDC1"/>
            </w:pPr>
          </w:p>
        </w:tc>
        <w:tc>
          <w:tcPr>
            <w:tcW w:w="851" w:type="dxa"/>
            <w:shd w:val="clear" w:color="auto" w:fill="auto"/>
          </w:tcPr>
          <w:p w:rsidR="002C0A94" w:rsidRPr="006371FD" w:rsidRDefault="002C0A94" w:rsidP="002C0A94">
            <w:pPr>
              <w:pStyle w:val="TDC1"/>
            </w:pPr>
          </w:p>
        </w:tc>
      </w:tr>
      <w:tr w:rsidR="002C0A94" w:rsidRPr="006371FD" w:rsidTr="00AE0DA2">
        <w:trPr>
          <w:trHeight w:val="103"/>
        </w:trPr>
        <w:tc>
          <w:tcPr>
            <w:tcW w:w="8789" w:type="dxa"/>
            <w:vAlign w:val="center"/>
          </w:tcPr>
          <w:p w:rsidR="002C0A94" w:rsidRPr="006371FD" w:rsidRDefault="002C0A94" w:rsidP="00DF4EB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 xml:space="preserve">Trabajo a nivel </w:t>
            </w:r>
            <w:proofErr w:type="spellStart"/>
            <w:r w:rsidRPr="006371FD">
              <w:rPr>
                <w:rFonts w:asciiTheme="minorHAnsi" w:hAnsiTheme="minorHAnsi" w:cstheme="minorHAnsi"/>
                <w:sz w:val="18"/>
                <w:szCs w:val="18"/>
              </w:rPr>
              <w:t>Microdato</w:t>
            </w:r>
            <w:proofErr w:type="spellEnd"/>
            <w:r w:rsidRPr="006371FD">
              <w:rPr>
                <w:rFonts w:asciiTheme="minorHAnsi" w:hAnsiTheme="minorHAnsi" w:cstheme="minorHAnsi"/>
                <w:sz w:val="18"/>
                <w:szCs w:val="18"/>
              </w:rPr>
              <w:t xml:space="preserve"> para plataformas y análisis especializados</w:t>
            </w:r>
            <w:r w:rsidR="00DF4EB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371FD">
              <w:rPr>
                <w:rFonts w:asciiTheme="minorHAnsi" w:hAnsiTheme="minorHAnsi" w:cstheme="minorHAnsi"/>
                <w:sz w:val="18"/>
                <w:szCs w:val="18"/>
              </w:rPr>
              <w:t xml:space="preserve"> desagregación y detalle de problemática. 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2C0A94" w:rsidRPr="006371FD" w:rsidRDefault="002C0A94" w:rsidP="005204F9">
            <w:pPr>
              <w:pStyle w:val="TDC1"/>
              <w:jc w:val="center"/>
            </w:pPr>
            <w:r w:rsidRPr="006371FD">
              <w:t>UEF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C0A94" w:rsidRPr="006371FD" w:rsidRDefault="002C0A94" w:rsidP="002C0A94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2C0A94" w:rsidRPr="006371FD" w:rsidRDefault="002C0A94" w:rsidP="002C0A94">
            <w:pPr>
              <w:pStyle w:val="TDC1"/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C0A94" w:rsidRPr="006371FD" w:rsidRDefault="002C0A94" w:rsidP="002C0A94">
            <w:pPr>
              <w:pStyle w:val="TDC1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C0A94" w:rsidRPr="006371FD" w:rsidRDefault="002C0A94" w:rsidP="002C0A94">
            <w:pPr>
              <w:pStyle w:val="TDC1"/>
            </w:pPr>
          </w:p>
        </w:tc>
      </w:tr>
      <w:tr w:rsidR="00DF4EB5" w:rsidRPr="006371FD" w:rsidTr="00165EB4">
        <w:trPr>
          <w:trHeight w:val="103"/>
        </w:trPr>
        <w:tc>
          <w:tcPr>
            <w:tcW w:w="8789" w:type="dxa"/>
            <w:vAlign w:val="center"/>
          </w:tcPr>
          <w:p w:rsidR="00DF4EB5" w:rsidRPr="006371FD" w:rsidRDefault="00DF4EB5" w:rsidP="00BA28DF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Trabajo de integración de Archivos</w:t>
            </w:r>
            <w:r w:rsidR="00BA28D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DF4EB5" w:rsidRPr="00DF4EB5" w:rsidRDefault="00DF4EB5" w:rsidP="005204F9">
            <w:pPr>
              <w:pStyle w:val="TDC1"/>
              <w:jc w:val="center"/>
              <w:rPr>
                <w:lang w:val="es-MX"/>
              </w:rPr>
            </w:pPr>
            <w:r>
              <w:rPr>
                <w:lang w:val="es-MX"/>
              </w:rPr>
              <w:t>IIEG (carga principal en Administración)</w:t>
            </w: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:rsidR="00DF4EB5" w:rsidRPr="006371FD" w:rsidRDefault="00DF4EB5" w:rsidP="002C0A94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DF4EB5" w:rsidRPr="006371FD" w:rsidRDefault="00DF4EB5" w:rsidP="002C0A94">
            <w:pPr>
              <w:pStyle w:val="TDC1"/>
            </w:pPr>
          </w:p>
        </w:tc>
        <w:tc>
          <w:tcPr>
            <w:tcW w:w="850" w:type="dxa"/>
            <w:shd w:val="clear" w:color="auto" w:fill="DBDBDB" w:themeFill="accent3" w:themeFillTint="66"/>
            <w:vAlign w:val="center"/>
          </w:tcPr>
          <w:p w:rsidR="00DF4EB5" w:rsidRPr="006371FD" w:rsidRDefault="00DF4EB5" w:rsidP="002C0A94">
            <w:pPr>
              <w:pStyle w:val="TDC1"/>
            </w:pPr>
          </w:p>
        </w:tc>
        <w:tc>
          <w:tcPr>
            <w:tcW w:w="851" w:type="dxa"/>
            <w:shd w:val="clear" w:color="auto" w:fill="DBDBDB" w:themeFill="accent3" w:themeFillTint="66"/>
            <w:vAlign w:val="center"/>
          </w:tcPr>
          <w:p w:rsidR="00DF4EB5" w:rsidRPr="006371FD" w:rsidRDefault="00DF4EB5" w:rsidP="002C0A94">
            <w:pPr>
              <w:pStyle w:val="TDC1"/>
            </w:pPr>
          </w:p>
        </w:tc>
      </w:tr>
    </w:tbl>
    <w:p w:rsidR="00F5262C" w:rsidRPr="00DF4EB5" w:rsidRDefault="00F5262C" w:rsidP="00DF4EB5">
      <w:pPr>
        <w:spacing w:after="0" w:line="240" w:lineRule="auto"/>
        <w:rPr>
          <w:rFonts w:asciiTheme="minorHAnsi" w:hAnsiTheme="minorHAnsi" w:cstheme="minorHAnsi"/>
          <w:sz w:val="2"/>
          <w:szCs w:val="18"/>
          <w:lang w:val="es-MX"/>
        </w:rPr>
      </w:pPr>
    </w:p>
    <w:sectPr w:rsidR="00F5262C" w:rsidRPr="00DF4EB5" w:rsidSect="00CC25D6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E5" w:rsidRDefault="00FF05E5" w:rsidP="00CC25D6">
      <w:pPr>
        <w:spacing w:after="0" w:line="240" w:lineRule="auto"/>
      </w:pPr>
      <w:r>
        <w:separator/>
      </w:r>
    </w:p>
  </w:endnote>
  <w:endnote w:type="continuationSeparator" w:id="0">
    <w:p w:rsidR="00FF05E5" w:rsidRDefault="00FF05E5" w:rsidP="00CC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D8" w:rsidRPr="009237D8" w:rsidRDefault="009237D8" w:rsidP="009237D8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  <w:szCs w:val="16"/>
      </w:rPr>
    </w:pPr>
    <w:r>
      <w:rPr>
        <w:rFonts w:asciiTheme="minorHAnsi" w:hAnsiTheme="minorHAnsi" w:cstheme="minorHAnsi"/>
        <w:color w:val="7F7F7F" w:themeColor="text1" w:themeTint="80"/>
        <w:sz w:val="16"/>
        <w:szCs w:val="16"/>
      </w:rPr>
      <w:t>Enero, 2018</w:t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ab/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ab/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ab/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ab/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ab/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ab/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ab/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ab/>
    </w:r>
    <w:r>
      <w:rPr>
        <w:rFonts w:asciiTheme="minorHAnsi" w:hAnsiTheme="minorHAnsi" w:cstheme="minorHAnsi"/>
        <w:color w:val="7F7F7F" w:themeColor="text1" w:themeTint="80"/>
        <w:sz w:val="16"/>
        <w:szCs w:val="16"/>
      </w:rPr>
      <w:tab/>
    </w:r>
    <w:r w:rsidRPr="009237D8">
      <w:rPr>
        <w:rFonts w:asciiTheme="minorHAnsi" w:hAnsiTheme="minorHAnsi" w:cstheme="minorHAnsi"/>
        <w:color w:val="7F7F7F" w:themeColor="text1" w:themeTint="80"/>
        <w:sz w:val="16"/>
        <w:szCs w:val="16"/>
      </w:rPr>
      <w:fldChar w:fldCharType="begin"/>
    </w:r>
    <w:r w:rsidRPr="009237D8">
      <w:rPr>
        <w:rFonts w:asciiTheme="minorHAnsi" w:hAnsiTheme="minorHAnsi" w:cstheme="minorHAnsi"/>
        <w:color w:val="7F7F7F" w:themeColor="text1" w:themeTint="80"/>
        <w:sz w:val="16"/>
        <w:szCs w:val="16"/>
      </w:rPr>
      <w:instrText>PAGE   \* MERGEFORMAT</w:instrText>
    </w:r>
    <w:r w:rsidRPr="009237D8">
      <w:rPr>
        <w:rFonts w:asciiTheme="minorHAnsi" w:hAnsiTheme="minorHAnsi" w:cstheme="minorHAnsi"/>
        <w:color w:val="7F7F7F" w:themeColor="text1" w:themeTint="80"/>
        <w:sz w:val="16"/>
        <w:szCs w:val="16"/>
      </w:rPr>
      <w:fldChar w:fldCharType="separate"/>
    </w:r>
    <w:r w:rsidR="008161BF">
      <w:rPr>
        <w:rFonts w:asciiTheme="minorHAnsi" w:hAnsiTheme="minorHAnsi" w:cstheme="minorHAnsi"/>
        <w:noProof/>
        <w:color w:val="7F7F7F" w:themeColor="text1" w:themeTint="80"/>
        <w:sz w:val="16"/>
        <w:szCs w:val="16"/>
      </w:rPr>
      <w:t>3</w:t>
    </w:r>
    <w:r w:rsidRPr="009237D8">
      <w:rPr>
        <w:rFonts w:asciiTheme="minorHAnsi" w:hAnsiTheme="minorHAnsi" w:cstheme="minorHAnsi"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E5" w:rsidRDefault="00FF05E5" w:rsidP="00CC25D6">
      <w:pPr>
        <w:spacing w:after="0" w:line="240" w:lineRule="auto"/>
      </w:pPr>
      <w:r>
        <w:separator/>
      </w:r>
    </w:p>
  </w:footnote>
  <w:footnote w:type="continuationSeparator" w:id="0">
    <w:p w:rsidR="00FF05E5" w:rsidRDefault="00FF05E5" w:rsidP="00CC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6B" w:rsidRPr="009237D8" w:rsidRDefault="00F94E6B" w:rsidP="00CC25D6">
    <w:pPr>
      <w:pStyle w:val="Encabezado"/>
      <w:jc w:val="center"/>
      <w:rPr>
        <w:rFonts w:asciiTheme="minorHAnsi" w:hAnsiTheme="minorHAnsi" w:cstheme="minorHAnsi"/>
        <w:b/>
        <w:color w:val="7F7F7F" w:themeColor="text1" w:themeTint="80"/>
        <w:lang w:val="es-MX"/>
      </w:rPr>
    </w:pPr>
    <w:r w:rsidRPr="009237D8">
      <w:rPr>
        <w:rFonts w:asciiTheme="minorHAnsi" w:hAnsiTheme="minorHAnsi" w:cstheme="minorHAnsi"/>
        <w:b/>
        <w:color w:val="7F7F7F" w:themeColor="text1" w:themeTint="80"/>
        <w:lang w:val="es-MX"/>
      </w:rPr>
      <w:t xml:space="preserve">Programa de trabajo </w:t>
    </w:r>
    <w:r w:rsidR="009237D8" w:rsidRPr="009237D8">
      <w:rPr>
        <w:rFonts w:asciiTheme="minorHAnsi" w:hAnsiTheme="minorHAnsi" w:cstheme="minorHAnsi"/>
        <w:b/>
        <w:color w:val="7F7F7F" w:themeColor="text1" w:themeTint="80"/>
        <w:lang w:val="es-MX"/>
      </w:rPr>
      <w:t xml:space="preserve">IIEG </w:t>
    </w:r>
    <w:r w:rsidRPr="009237D8">
      <w:rPr>
        <w:rFonts w:asciiTheme="minorHAnsi" w:hAnsiTheme="minorHAnsi" w:cstheme="minorHAnsi"/>
        <w:b/>
        <w:color w:val="7F7F7F" w:themeColor="text1" w:themeTint="80"/>
        <w:lang w:val="es-MX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06C40"/>
    <w:multiLevelType w:val="hybridMultilevel"/>
    <w:tmpl w:val="3544F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EF35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86"/>
    <w:rsid w:val="00016146"/>
    <w:rsid w:val="000663F3"/>
    <w:rsid w:val="00165EB4"/>
    <w:rsid w:val="001D0A7C"/>
    <w:rsid w:val="002037C1"/>
    <w:rsid w:val="00205280"/>
    <w:rsid w:val="002C0A94"/>
    <w:rsid w:val="003261C8"/>
    <w:rsid w:val="0038247B"/>
    <w:rsid w:val="003F42E2"/>
    <w:rsid w:val="00415625"/>
    <w:rsid w:val="004E654A"/>
    <w:rsid w:val="005204F9"/>
    <w:rsid w:val="005A7861"/>
    <w:rsid w:val="00624520"/>
    <w:rsid w:val="006371FD"/>
    <w:rsid w:val="0067583F"/>
    <w:rsid w:val="00690B79"/>
    <w:rsid w:val="006D552E"/>
    <w:rsid w:val="006E437C"/>
    <w:rsid w:val="007535CE"/>
    <w:rsid w:val="0075598B"/>
    <w:rsid w:val="00795413"/>
    <w:rsid w:val="008161BF"/>
    <w:rsid w:val="008236FC"/>
    <w:rsid w:val="00834700"/>
    <w:rsid w:val="008771AC"/>
    <w:rsid w:val="0091341B"/>
    <w:rsid w:val="009237D8"/>
    <w:rsid w:val="00936EE3"/>
    <w:rsid w:val="00967C94"/>
    <w:rsid w:val="009A61DA"/>
    <w:rsid w:val="009D481B"/>
    <w:rsid w:val="00A34C86"/>
    <w:rsid w:val="00A4074A"/>
    <w:rsid w:val="00A65CA0"/>
    <w:rsid w:val="00B05A79"/>
    <w:rsid w:val="00B33A39"/>
    <w:rsid w:val="00BA28DF"/>
    <w:rsid w:val="00C021EA"/>
    <w:rsid w:val="00CB08EB"/>
    <w:rsid w:val="00CC25D6"/>
    <w:rsid w:val="00D63163"/>
    <w:rsid w:val="00D93770"/>
    <w:rsid w:val="00DF4EB5"/>
    <w:rsid w:val="00E2546C"/>
    <w:rsid w:val="00E4745A"/>
    <w:rsid w:val="00EA7AAE"/>
    <w:rsid w:val="00F5262C"/>
    <w:rsid w:val="00F62DB2"/>
    <w:rsid w:val="00F94E6B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1BE566-A560-414F-9B49-86B134FE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C8"/>
    <w:pPr>
      <w:spacing w:after="200" w:line="276" w:lineRule="auto"/>
    </w:pPr>
    <w:rPr>
      <w:rFonts w:ascii="Arial Narrow" w:hAnsi="Arial Narrow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5D6"/>
  </w:style>
  <w:style w:type="paragraph" w:styleId="Piedepgina">
    <w:name w:val="footer"/>
    <w:basedOn w:val="Normal"/>
    <w:link w:val="PiedepginaCar"/>
    <w:uiPriority w:val="99"/>
    <w:unhideWhenUsed/>
    <w:rsid w:val="00CC2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5D6"/>
  </w:style>
  <w:style w:type="table" w:styleId="Tablaconcuadrcula">
    <w:name w:val="Table Grid"/>
    <w:basedOn w:val="Tablanormal"/>
    <w:uiPriority w:val="59"/>
    <w:rsid w:val="003261C8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3261C8"/>
    <w:pPr>
      <w:spacing w:after="0" w:line="240" w:lineRule="auto"/>
      <w:contextualSpacing/>
    </w:pPr>
    <w:rPr>
      <w:rFonts w:ascii="Arial" w:eastAsia="Times New Roman" w:hAnsi="Arial" w:cs="Times New Roman"/>
      <w:b/>
      <w:color w:val="000090"/>
      <w:sz w:val="40"/>
      <w:szCs w:val="4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3261C8"/>
    <w:rPr>
      <w:rFonts w:ascii="Arial" w:eastAsia="Times New Roman" w:hAnsi="Arial" w:cs="Times New Roman"/>
      <w:b/>
      <w:color w:val="000090"/>
      <w:sz w:val="40"/>
      <w:szCs w:val="40"/>
      <w:lang w:val="es-MX" w:eastAsia="es-ES"/>
    </w:rPr>
  </w:style>
  <w:style w:type="paragraph" w:styleId="Subttulo">
    <w:name w:val="Subtitle"/>
    <w:basedOn w:val="Normal"/>
    <w:link w:val="SubttuloCar"/>
    <w:qFormat/>
    <w:rsid w:val="003261C8"/>
    <w:pPr>
      <w:spacing w:after="0" w:line="240" w:lineRule="auto"/>
      <w:contextualSpacing/>
    </w:pPr>
    <w:rPr>
      <w:rFonts w:ascii="Arial" w:eastAsia="Times New Roman" w:hAnsi="Arial" w:cs="Times New Roman"/>
      <w:b/>
      <w:szCs w:val="20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3261C8"/>
    <w:rPr>
      <w:rFonts w:ascii="Arial" w:eastAsia="Times New Roman" w:hAnsi="Arial" w:cs="Times New Roman"/>
      <w:b/>
      <w:sz w:val="28"/>
      <w:szCs w:val="20"/>
      <w:lang w:val="es-MX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021EA"/>
    <w:pPr>
      <w:tabs>
        <w:tab w:val="right" w:leader="dot" w:pos="8828"/>
      </w:tabs>
      <w:spacing w:after="0" w:line="240" w:lineRule="auto"/>
      <w:ind w:left="-105"/>
    </w:pPr>
    <w:rPr>
      <w:rFonts w:asciiTheme="minorHAnsi" w:hAnsiTheme="minorHAnsi" w:cstheme="minorHAnsi"/>
      <w:noProof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9A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1615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Guevara Rubio</dc:creator>
  <cp:keywords/>
  <dc:description/>
  <cp:lastModifiedBy>Montserrat Guevara Rubio</cp:lastModifiedBy>
  <cp:revision>39</cp:revision>
  <dcterms:created xsi:type="dcterms:W3CDTF">2018-01-22T14:52:00Z</dcterms:created>
  <dcterms:modified xsi:type="dcterms:W3CDTF">2018-01-22T21:13:00Z</dcterms:modified>
</cp:coreProperties>
</file>