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C6A82" w14:textId="77777777" w:rsidR="00E87FC3" w:rsidRDefault="00E87FC3" w:rsidP="00E87FC3">
      <w:pPr>
        <w:jc w:val="both"/>
        <w:rPr>
          <w:lang w:val="es-MX"/>
        </w:rPr>
      </w:pPr>
      <w:bookmarkStart w:id="0" w:name="_GoBack"/>
      <w:bookmarkEnd w:id="0"/>
      <w:r>
        <w:rPr>
          <w:lang w:val="es-MX"/>
        </w:rPr>
        <w:t xml:space="preserve">Para esta sesión de la Junta de Gobierno del Instituto, se tenía una propuesta de adecuación del Plan Institucional derivada de la autoevaluación realizada a la versión del Plan Institucional actualizada en 2017; sin embargo, la Subsecretaría de Planeación y Evaluación inició el pasado lunes 12 de marzo un proceso de actualización de los planes institucionales del Poder Ejecutivo, con resultados y requerimientos adicionales a los que se habían considerado. Por tanto, se presenta a ustedes la comparativa entre los dos documentos de resultados de evaluación. Los cambios que se realicen se verán reflejados en el documento a entregar en abril a la Subsecretaría, el cual será presentado a ustedes en la sesión de agosto próximo. </w:t>
      </w:r>
    </w:p>
    <w:p w14:paraId="41FEA41D" w14:textId="77777777" w:rsidR="00E87FC3" w:rsidRDefault="00E87FC3" w:rsidP="00E87FC3">
      <w:pPr>
        <w:rPr>
          <w:b/>
          <w:lang w:val="es-MX"/>
        </w:rPr>
      </w:pPr>
    </w:p>
    <w:p w14:paraId="60EAD0CA" w14:textId="77777777" w:rsidR="00E87FC3" w:rsidRPr="00795094" w:rsidRDefault="00E87FC3" w:rsidP="00E87FC3">
      <w:pPr>
        <w:rPr>
          <w:b/>
          <w:lang w:val="es-MX"/>
        </w:rPr>
      </w:pPr>
      <w:r w:rsidRPr="00795094">
        <w:rPr>
          <w:b/>
          <w:lang w:val="es-MX"/>
        </w:rPr>
        <w:t>Misión Institucional:</w:t>
      </w:r>
    </w:p>
    <w:p w14:paraId="2B58B092" w14:textId="77777777" w:rsidR="00E87FC3" w:rsidRPr="00795094" w:rsidRDefault="00E87FC3" w:rsidP="00E87FC3">
      <w:pPr>
        <w:ind w:left="708"/>
        <w:jc w:val="both"/>
        <w:rPr>
          <w:i/>
          <w:lang w:val="es-MX"/>
        </w:rPr>
      </w:pPr>
      <w:r w:rsidRPr="00795094">
        <w:rPr>
          <w:i/>
          <w:lang w:val="es-MX"/>
        </w:rPr>
        <w:t>Ser un agente activo que fortalece el desarrollo del Estado de Jalisco sustentando las tareas de planificación del gobierno y de la sociedad mediante la lectura, la interpretación y el análisis de datos e información georreferenciada de las condiciones sociales, económicas y ambientales en las diversas regiones del estado. Sus diagnósticos posibilitan la evaluación de los impactos y los resultados de la acción pública.</w:t>
      </w:r>
    </w:p>
    <w:p w14:paraId="047AAD0E" w14:textId="77777777" w:rsidR="00E87FC3" w:rsidRDefault="00E87FC3" w:rsidP="00E87FC3">
      <w:pPr>
        <w:rPr>
          <w:lang w:val="es-MX"/>
        </w:rPr>
      </w:pPr>
    </w:p>
    <w:p w14:paraId="714DA7A8" w14:textId="77777777" w:rsidR="00E87FC3" w:rsidRDefault="00E87FC3" w:rsidP="00E87FC3">
      <w:pPr>
        <w:ind w:left="708"/>
        <w:rPr>
          <w:lang w:val="es-MX"/>
        </w:rPr>
      </w:pPr>
      <w:r>
        <w:rPr>
          <w:lang w:val="es-MX"/>
        </w:rPr>
        <w:t>Puntaje Autoevaluación: 25/25</w:t>
      </w:r>
    </w:p>
    <w:p w14:paraId="4B25D35D" w14:textId="77777777" w:rsidR="00E87FC3" w:rsidRDefault="00E87FC3" w:rsidP="00E87FC3">
      <w:pPr>
        <w:ind w:left="708"/>
        <w:rPr>
          <w:lang w:val="es-MX"/>
        </w:rPr>
      </w:pPr>
      <w:r>
        <w:rPr>
          <w:lang w:val="es-MX"/>
        </w:rPr>
        <w:t>Puntaje Evaluación: 22/25</w:t>
      </w:r>
    </w:p>
    <w:p w14:paraId="052A7007" w14:textId="77777777" w:rsidR="00E87FC3" w:rsidRDefault="00E87FC3" w:rsidP="00E87FC3">
      <w:pPr>
        <w:ind w:left="708"/>
        <w:rPr>
          <w:lang w:val="es-MX"/>
        </w:rPr>
      </w:pPr>
    </w:p>
    <w:p w14:paraId="48187CD5" w14:textId="77777777" w:rsidR="00E87FC3" w:rsidRDefault="00E87FC3" w:rsidP="00E87FC3">
      <w:pPr>
        <w:ind w:left="708"/>
        <w:jc w:val="both"/>
        <w:rPr>
          <w:lang w:val="es-MX"/>
        </w:rPr>
      </w:pPr>
      <w:r>
        <w:rPr>
          <w:lang w:val="es-MX"/>
        </w:rPr>
        <w:t xml:space="preserve">Tanto la evaluación como la autoevaluación coinciden en que la misión establecida en el Plan Institucional continúa siendo vigente y no es necesario reestructurarla, pues refleja la identidad de la institución y está delimitada por el marco legal vigente que establece las obligaciones y atribuciones del organismo. Sin embargo, para el IIEG esta misión refleja el compromiso del Instituto con la sociedad y los grupos específicos que atiende, mientras que </w:t>
      </w:r>
      <w:proofErr w:type="spellStart"/>
      <w:r>
        <w:rPr>
          <w:lang w:val="es-MX"/>
        </w:rPr>
        <w:t>Subseplan</w:t>
      </w:r>
      <w:proofErr w:type="spellEnd"/>
      <w:r>
        <w:rPr>
          <w:lang w:val="es-MX"/>
        </w:rPr>
        <w:t xml:space="preserve"> no está completamente de acuerdo (puntaje 4/5), como tampoco en la plena identificación de los productos o servicios que entrega. (puntaje 3/5)</w:t>
      </w:r>
    </w:p>
    <w:p w14:paraId="6E79CB5F" w14:textId="77777777" w:rsidR="00E87FC3" w:rsidRDefault="00E87FC3" w:rsidP="00E87FC3">
      <w:pPr>
        <w:jc w:val="both"/>
        <w:rPr>
          <w:lang w:val="es-MX"/>
        </w:rPr>
      </w:pPr>
    </w:p>
    <w:p w14:paraId="517BED1A" w14:textId="77777777" w:rsidR="00E87FC3" w:rsidRPr="00795094" w:rsidRDefault="00E87FC3" w:rsidP="00E87FC3">
      <w:pPr>
        <w:rPr>
          <w:b/>
          <w:lang w:val="es-MX"/>
        </w:rPr>
      </w:pPr>
      <w:r>
        <w:rPr>
          <w:b/>
          <w:lang w:val="es-MX"/>
        </w:rPr>
        <w:t>V</w:t>
      </w:r>
      <w:r w:rsidRPr="00795094">
        <w:rPr>
          <w:b/>
          <w:lang w:val="es-MX"/>
        </w:rPr>
        <w:t>isión Institucional:</w:t>
      </w:r>
    </w:p>
    <w:p w14:paraId="1A43E660" w14:textId="77777777" w:rsidR="00E87FC3" w:rsidRPr="00795094" w:rsidRDefault="00E87FC3" w:rsidP="00E87FC3">
      <w:pPr>
        <w:ind w:left="708"/>
        <w:jc w:val="both"/>
        <w:rPr>
          <w:i/>
          <w:lang w:val="es-MX"/>
        </w:rPr>
      </w:pPr>
      <w:r w:rsidRPr="00795094">
        <w:rPr>
          <w:i/>
          <w:lang w:val="es-MX"/>
        </w:rPr>
        <w:t>En el año 2033, el Instituto de Información Estadística y Geográfica del Estado de Jalisco es la organización pública responsable de pensar el territorio y comprender su situación y realidad dinámica, ofreciendo con ello una guía para la toma de decisiones de los agentes económicos y sociales; es un reconocido marco de referencia para la evaluación objetiva de intervenciones públicas y cambios que interesan a la sociedad.</w:t>
      </w:r>
    </w:p>
    <w:p w14:paraId="39E9A1E1" w14:textId="77777777" w:rsidR="00E87FC3" w:rsidRDefault="00E87FC3" w:rsidP="00E87FC3">
      <w:pPr>
        <w:rPr>
          <w:lang w:val="es-MX"/>
        </w:rPr>
      </w:pPr>
    </w:p>
    <w:p w14:paraId="52F406A2" w14:textId="77777777" w:rsidR="00E87FC3" w:rsidRDefault="00E87FC3" w:rsidP="00E87FC3">
      <w:pPr>
        <w:ind w:left="708"/>
        <w:rPr>
          <w:lang w:val="es-MX"/>
        </w:rPr>
      </w:pPr>
      <w:r>
        <w:rPr>
          <w:lang w:val="es-MX"/>
        </w:rPr>
        <w:t xml:space="preserve">Puntaje Autoevaluación: 25/25 </w:t>
      </w:r>
    </w:p>
    <w:p w14:paraId="76AF6325" w14:textId="77777777" w:rsidR="00E87FC3" w:rsidRDefault="00E87FC3" w:rsidP="00E87FC3">
      <w:pPr>
        <w:ind w:left="708"/>
        <w:rPr>
          <w:lang w:val="es-MX"/>
        </w:rPr>
      </w:pPr>
      <w:r>
        <w:rPr>
          <w:lang w:val="es-MX"/>
        </w:rPr>
        <w:t>Puntaje Evaluación: 16/20</w:t>
      </w:r>
    </w:p>
    <w:p w14:paraId="417B6AAB" w14:textId="77777777" w:rsidR="00E87FC3" w:rsidRDefault="00E87FC3" w:rsidP="00E87FC3">
      <w:pPr>
        <w:ind w:left="708"/>
        <w:rPr>
          <w:lang w:val="es-MX"/>
        </w:rPr>
      </w:pPr>
    </w:p>
    <w:p w14:paraId="36B7EF13" w14:textId="77777777" w:rsidR="00E87FC3" w:rsidRDefault="00E87FC3" w:rsidP="00E87FC3">
      <w:pPr>
        <w:ind w:left="708"/>
        <w:jc w:val="both"/>
        <w:rPr>
          <w:lang w:val="es-MX"/>
        </w:rPr>
      </w:pPr>
      <w:r>
        <w:rPr>
          <w:lang w:val="es-MX"/>
        </w:rPr>
        <w:t xml:space="preserve">Para </w:t>
      </w:r>
      <w:proofErr w:type="spellStart"/>
      <w:r>
        <w:rPr>
          <w:lang w:val="es-MX"/>
        </w:rPr>
        <w:t>Subseplan</w:t>
      </w:r>
      <w:proofErr w:type="spellEnd"/>
      <w:r>
        <w:rPr>
          <w:lang w:val="es-MX"/>
        </w:rPr>
        <w:t xml:space="preserve"> es necesario reestructurar la visión de futuro del organismo, ya que desde su punto de vista no continúa representando un reto para el IIEG ni sigue siendo vigente, mientras que para el Instituto sí lo son. La evaluación refleja estar de acuerdo en que en la visión se plasman las expectativas de la organización a futuro y es coherente con la misión institucional (4/5), pero se sugiere que tenga un “</w:t>
      </w:r>
      <w:r>
        <w:rPr>
          <w:sz w:val="23"/>
          <w:szCs w:val="23"/>
        </w:rPr>
        <w:t xml:space="preserve">carácter inspirador”, sin marcar el año conciso en que se termina la visión. </w:t>
      </w:r>
      <w:r>
        <w:rPr>
          <w:lang w:val="es-MX"/>
        </w:rPr>
        <w:t xml:space="preserve">Adicionalmente, en la </w:t>
      </w:r>
      <w:r>
        <w:rPr>
          <w:lang w:val="es-MX"/>
        </w:rPr>
        <w:lastRenderedPageBreak/>
        <w:t>autoevaluación se consideró que la visión es compartida entre el personal del Instituto.</w:t>
      </w:r>
    </w:p>
    <w:p w14:paraId="495B7448" w14:textId="77777777" w:rsidR="00E87FC3" w:rsidRDefault="00E87FC3" w:rsidP="00E87FC3">
      <w:pPr>
        <w:jc w:val="both"/>
        <w:rPr>
          <w:lang w:val="es-MX"/>
        </w:rPr>
      </w:pPr>
    </w:p>
    <w:p w14:paraId="5488D9D4" w14:textId="77777777" w:rsidR="00E87FC3" w:rsidRPr="00FD1C8A" w:rsidRDefault="00E87FC3" w:rsidP="00E87FC3">
      <w:pPr>
        <w:rPr>
          <w:b/>
          <w:lang w:val="es-MX"/>
        </w:rPr>
      </w:pPr>
      <w:r>
        <w:rPr>
          <w:b/>
          <w:lang w:val="es-MX"/>
        </w:rPr>
        <w:t>Valores y principios</w:t>
      </w:r>
      <w:r w:rsidRPr="00FD1C8A">
        <w:rPr>
          <w:b/>
          <w:lang w:val="es-MX"/>
        </w:rPr>
        <w:t>:</w:t>
      </w:r>
    </w:p>
    <w:p w14:paraId="3064815D" w14:textId="77777777" w:rsidR="00E87FC3" w:rsidRDefault="00E87FC3" w:rsidP="00E87FC3">
      <w:pPr>
        <w:rPr>
          <w:lang w:val="es-MX"/>
        </w:rPr>
      </w:pPr>
      <w:r>
        <w:rPr>
          <w:lang w:val="es-MX"/>
        </w:rPr>
        <w:t xml:space="preserve">Si bien la evaluación refleja que todos los valores y principios establecidos en el Plan Institucional son relevantes para lograr la misión del organismo y suficientes para alcanzar la visión de futuro, para el Instituto es necesario incluir un valor más: Celeridad, al actuar con </w:t>
      </w:r>
      <w:r w:rsidRPr="00CE793F">
        <w:rPr>
          <w:lang w:val="es-MX"/>
        </w:rPr>
        <w:t>sentido de urgencia para resolver situaciones cotidianas y de coyuntura</w:t>
      </w:r>
      <w:r>
        <w:rPr>
          <w:lang w:val="es-MX"/>
        </w:rPr>
        <w:t>.</w:t>
      </w:r>
    </w:p>
    <w:p w14:paraId="5AF6A6AC" w14:textId="77777777" w:rsidR="00E87FC3" w:rsidRDefault="00E87FC3" w:rsidP="00E87FC3">
      <w:pPr>
        <w:rPr>
          <w:lang w:val="es-MX"/>
        </w:rPr>
      </w:pPr>
    </w:p>
    <w:p w14:paraId="42E5674D" w14:textId="1AC38CA0" w:rsidR="00E87FC3" w:rsidRDefault="00E87FC3" w:rsidP="00E87FC3">
      <w:pPr>
        <w:rPr>
          <w:b/>
          <w:lang w:val="es-MX"/>
        </w:rPr>
      </w:pPr>
      <w:r w:rsidRPr="00E87FC3">
        <w:rPr>
          <w:b/>
          <w:lang w:val="es-MX"/>
        </w:rPr>
        <w:t xml:space="preserve"> </w:t>
      </w:r>
      <w:r>
        <w:rPr>
          <w:b/>
          <w:lang w:val="es-MX"/>
        </w:rPr>
        <w:t>Diagnóstico de la organización:</w:t>
      </w:r>
    </w:p>
    <w:p w14:paraId="75B8D720" w14:textId="77777777" w:rsidR="00E87FC3" w:rsidRDefault="00E87FC3" w:rsidP="00E87FC3">
      <w:pPr>
        <w:ind w:left="708"/>
        <w:rPr>
          <w:lang w:val="es-MX"/>
        </w:rPr>
      </w:pPr>
      <w:r>
        <w:rPr>
          <w:lang w:val="es-MX"/>
        </w:rPr>
        <w:t xml:space="preserve">Puntaje Autoevaluación: 21/40 </w:t>
      </w:r>
    </w:p>
    <w:p w14:paraId="4F21E4E1" w14:textId="77777777" w:rsidR="00E87FC3" w:rsidRDefault="00E87FC3" w:rsidP="00E87FC3">
      <w:pPr>
        <w:ind w:left="708"/>
        <w:rPr>
          <w:lang w:val="es-MX"/>
        </w:rPr>
      </w:pPr>
      <w:r>
        <w:rPr>
          <w:lang w:val="es-MX"/>
        </w:rPr>
        <w:t>Puntaje Evaluación: 37/40</w:t>
      </w:r>
    </w:p>
    <w:p w14:paraId="62566820" w14:textId="77777777" w:rsidR="00E87FC3" w:rsidRPr="00FD1C8A" w:rsidRDefault="00E87FC3" w:rsidP="00E87FC3">
      <w:pPr>
        <w:rPr>
          <w:b/>
          <w:lang w:val="es-MX"/>
        </w:rPr>
      </w:pPr>
    </w:p>
    <w:p w14:paraId="27E56C0B" w14:textId="77777777" w:rsidR="00E87FC3" w:rsidRDefault="00E87FC3" w:rsidP="00E87FC3">
      <w:pPr>
        <w:ind w:left="708"/>
        <w:jc w:val="both"/>
        <w:rPr>
          <w:lang w:val="es-MX"/>
        </w:rPr>
      </w:pPr>
      <w:r>
        <w:rPr>
          <w:lang w:val="es-MX"/>
        </w:rPr>
        <w:t xml:space="preserve">En el diagnóstico del Plan Institucional se identificaron los principales problemas que afectan el funcionamiento del IIEG y están bien definidos; es decir, reflejan las situaciones negativas que afectan el funcionamiento de la institución. El análisis de causalidades de los problemas en el diagnóstico permite identificar las razones por las que se origina la problemática y se tienen identificadas las potencialidades del organismo. En general, las potencialidades identificadas contribuyen altamente a alcanzar la visión establecida. </w:t>
      </w:r>
    </w:p>
    <w:p w14:paraId="276EA25C" w14:textId="77777777" w:rsidR="00E87FC3" w:rsidRDefault="00E87FC3" w:rsidP="00E87FC3">
      <w:pPr>
        <w:ind w:left="708"/>
        <w:jc w:val="both"/>
        <w:rPr>
          <w:lang w:val="es-MX"/>
        </w:rPr>
      </w:pPr>
    </w:p>
    <w:p w14:paraId="5A577E62" w14:textId="77777777" w:rsidR="00E87FC3" w:rsidRDefault="00E87FC3" w:rsidP="00E87FC3">
      <w:pPr>
        <w:ind w:left="708"/>
        <w:jc w:val="both"/>
        <w:rPr>
          <w:lang w:val="es-MX"/>
        </w:rPr>
      </w:pPr>
      <w:r>
        <w:rPr>
          <w:lang w:val="es-MX"/>
        </w:rPr>
        <w:t xml:space="preserve">Tanto en la Evaluación como en la Autoevaluación, la valoración del Diagnóstico es buena, con un puntaje de 4/5. Las áreas de oportunidad que muestra la evaluación están en los rubros de Estructura Organizacional y Procesos. </w:t>
      </w:r>
      <w:r w:rsidRPr="005B1C30">
        <w:rPr>
          <w:lang w:val="es-MX"/>
        </w:rPr>
        <w:t>En la estructura organizacional se recomienda adjuntar un organigrama</w:t>
      </w:r>
      <w:r>
        <w:rPr>
          <w:lang w:val="es-MX"/>
        </w:rPr>
        <w:t xml:space="preserve">, mientras que en la </w:t>
      </w:r>
      <w:r w:rsidRPr="005B1C30">
        <w:rPr>
          <w:lang w:val="es-MX"/>
        </w:rPr>
        <w:t>sección de procesos de recomienda adjuntar un diagrama que refleje los principales procesos de la dependencia.</w:t>
      </w:r>
    </w:p>
    <w:p w14:paraId="69986312" w14:textId="77777777" w:rsidR="00E87FC3" w:rsidRDefault="00E87FC3" w:rsidP="00E87FC3">
      <w:pPr>
        <w:ind w:left="708"/>
        <w:jc w:val="both"/>
        <w:rPr>
          <w:lang w:val="es-MX"/>
        </w:rPr>
      </w:pPr>
    </w:p>
    <w:p w14:paraId="161D91D8" w14:textId="77777777" w:rsidR="00E87FC3" w:rsidRDefault="00E87FC3" w:rsidP="00E87FC3">
      <w:pPr>
        <w:ind w:left="708"/>
        <w:jc w:val="both"/>
        <w:rPr>
          <w:lang w:val="es-MX"/>
        </w:rPr>
      </w:pPr>
      <w:r>
        <w:rPr>
          <w:lang w:val="es-MX"/>
        </w:rPr>
        <w:t xml:space="preserve">El resto de los elementos del diagnóstico fueron evaluados como muy buenos: Recursos humanos, recursos financieros, servicios generales, tecnologías de la información y comunicación, sistemas de gestión de calidad y Transparencia y rendición de cuentas.  Sin embargo, para el Instituto es necesario profundizar en algunos problemas identificados al transcurrir estos primeros años de gestión, tales como: </w:t>
      </w:r>
    </w:p>
    <w:p w14:paraId="0770B8F4" w14:textId="77777777" w:rsidR="00E87FC3" w:rsidRPr="00271A67" w:rsidRDefault="00E87FC3" w:rsidP="00E87FC3">
      <w:pPr>
        <w:pStyle w:val="Prrafodelista"/>
        <w:numPr>
          <w:ilvl w:val="0"/>
          <w:numId w:val="1"/>
        </w:numPr>
        <w:spacing w:after="0" w:line="240" w:lineRule="auto"/>
        <w:jc w:val="both"/>
      </w:pPr>
      <w:r w:rsidRPr="00271A67">
        <w:t xml:space="preserve">Deficiente administración del tiempo por causas internas y externas </w:t>
      </w:r>
    </w:p>
    <w:p w14:paraId="0A7425F0" w14:textId="77777777" w:rsidR="00E87FC3" w:rsidRPr="00271A67" w:rsidRDefault="00E87FC3" w:rsidP="00E87FC3">
      <w:pPr>
        <w:pStyle w:val="Prrafodelista"/>
        <w:numPr>
          <w:ilvl w:val="0"/>
          <w:numId w:val="1"/>
        </w:numPr>
        <w:spacing w:after="0" w:line="240" w:lineRule="auto"/>
        <w:jc w:val="both"/>
      </w:pPr>
      <w:r w:rsidRPr="00271A67">
        <w:t>Letargo o dilación en la atención de asuntos diversos</w:t>
      </w:r>
    </w:p>
    <w:p w14:paraId="24E00BA1" w14:textId="77777777" w:rsidR="00E87FC3" w:rsidRPr="00271A67" w:rsidRDefault="00E87FC3" w:rsidP="00E87FC3">
      <w:pPr>
        <w:pStyle w:val="Prrafodelista"/>
        <w:numPr>
          <w:ilvl w:val="0"/>
          <w:numId w:val="1"/>
        </w:numPr>
        <w:spacing w:after="0" w:line="240" w:lineRule="auto"/>
        <w:jc w:val="both"/>
      </w:pPr>
      <w:r w:rsidRPr="00271A67">
        <w:t>Inadecuada distribución de responsabilidades y cargas de trabajo</w:t>
      </w:r>
    </w:p>
    <w:p w14:paraId="422AF61B" w14:textId="77777777" w:rsidR="00E87FC3" w:rsidRPr="00271A67" w:rsidRDefault="00E87FC3" w:rsidP="00E87FC3">
      <w:pPr>
        <w:pStyle w:val="Prrafodelista"/>
        <w:numPr>
          <w:ilvl w:val="0"/>
          <w:numId w:val="1"/>
        </w:numPr>
        <w:spacing w:after="0" w:line="240" w:lineRule="auto"/>
        <w:jc w:val="both"/>
      </w:pPr>
      <w:r w:rsidRPr="00271A67">
        <w:t>Limitado alcance del marco legal vigente</w:t>
      </w:r>
    </w:p>
    <w:p w14:paraId="053042C1" w14:textId="77777777" w:rsidR="00E87FC3" w:rsidRDefault="00E87FC3" w:rsidP="00E87FC3">
      <w:pPr>
        <w:pStyle w:val="Prrafodelista"/>
        <w:numPr>
          <w:ilvl w:val="0"/>
          <w:numId w:val="1"/>
        </w:numPr>
        <w:spacing w:after="0" w:line="240" w:lineRule="auto"/>
        <w:jc w:val="both"/>
      </w:pPr>
      <w:r w:rsidRPr="00271A67">
        <w:t>Reducción de plantilla para afrontar recortes presupuestarios</w:t>
      </w:r>
    </w:p>
    <w:p w14:paraId="277D8A88" w14:textId="77777777" w:rsidR="00E87FC3" w:rsidRDefault="00E87FC3" w:rsidP="00E87FC3">
      <w:pPr>
        <w:jc w:val="both"/>
      </w:pPr>
    </w:p>
    <w:p w14:paraId="16384186" w14:textId="77777777" w:rsidR="00E87FC3" w:rsidRDefault="00E87FC3" w:rsidP="00E87FC3">
      <w:pPr>
        <w:ind w:left="708"/>
        <w:jc w:val="both"/>
        <w:rPr>
          <w:lang w:val="es-MX"/>
        </w:rPr>
      </w:pPr>
      <w:r>
        <w:rPr>
          <w:lang w:val="es-MX"/>
        </w:rPr>
        <w:t xml:space="preserve">También resulta pertinente aprovechar las potencialidades del trabajo coordinado, como son: </w:t>
      </w:r>
    </w:p>
    <w:p w14:paraId="07367B6A" w14:textId="77777777" w:rsidR="00E87FC3" w:rsidRPr="00271A67" w:rsidRDefault="00E87FC3" w:rsidP="00E87FC3">
      <w:pPr>
        <w:pStyle w:val="Prrafodelista"/>
        <w:numPr>
          <w:ilvl w:val="0"/>
          <w:numId w:val="1"/>
        </w:numPr>
        <w:spacing w:after="0" w:line="240" w:lineRule="auto"/>
        <w:jc w:val="both"/>
      </w:pPr>
      <w:r w:rsidRPr="00271A67">
        <w:t xml:space="preserve">Incipiente trabajo </w:t>
      </w:r>
      <w:proofErr w:type="spellStart"/>
      <w:r w:rsidRPr="00271A67">
        <w:t>transdisciplinario</w:t>
      </w:r>
      <w:proofErr w:type="spellEnd"/>
    </w:p>
    <w:p w14:paraId="50293ACB" w14:textId="77777777" w:rsidR="00E87FC3" w:rsidRPr="00271A67" w:rsidRDefault="00E87FC3" w:rsidP="00E87FC3">
      <w:pPr>
        <w:pStyle w:val="Prrafodelista"/>
        <w:numPr>
          <w:ilvl w:val="0"/>
          <w:numId w:val="1"/>
        </w:numPr>
        <w:spacing w:after="0" w:line="240" w:lineRule="auto"/>
        <w:jc w:val="both"/>
      </w:pPr>
      <w:r w:rsidRPr="00271A67">
        <w:t xml:space="preserve">Alto desarrollo de capacidades institucionales </w:t>
      </w:r>
    </w:p>
    <w:p w14:paraId="58C15ACE" w14:textId="77777777" w:rsidR="00E87FC3" w:rsidRPr="00271A67" w:rsidRDefault="00E87FC3" w:rsidP="00E87FC3">
      <w:pPr>
        <w:pStyle w:val="Prrafodelista"/>
        <w:numPr>
          <w:ilvl w:val="0"/>
          <w:numId w:val="1"/>
        </w:numPr>
        <w:spacing w:after="0" w:line="240" w:lineRule="auto"/>
        <w:jc w:val="both"/>
      </w:pPr>
      <w:r w:rsidRPr="00271A67">
        <w:t>Ambiciosa Estrategia Estatal de Desarrollo Estadístico</w:t>
      </w:r>
    </w:p>
    <w:p w14:paraId="0CC5819B" w14:textId="77777777" w:rsidR="00E87FC3" w:rsidRDefault="00E87FC3" w:rsidP="00E87FC3">
      <w:pPr>
        <w:pStyle w:val="Prrafodelista"/>
        <w:numPr>
          <w:ilvl w:val="0"/>
          <w:numId w:val="1"/>
        </w:numPr>
        <w:spacing w:after="0" w:line="240" w:lineRule="auto"/>
        <w:jc w:val="both"/>
      </w:pPr>
      <w:r w:rsidRPr="00271A67">
        <w:t>Amplia Estrategia de Diseminación de Datos</w:t>
      </w:r>
    </w:p>
    <w:p w14:paraId="1009D8F3" w14:textId="77777777" w:rsidR="00E87FC3" w:rsidRDefault="00E87FC3" w:rsidP="00E87FC3">
      <w:pPr>
        <w:ind w:left="708"/>
        <w:jc w:val="both"/>
        <w:rPr>
          <w:lang w:val="es-MX"/>
        </w:rPr>
      </w:pPr>
    </w:p>
    <w:p w14:paraId="64D49A3F" w14:textId="77777777" w:rsidR="00E87FC3" w:rsidRPr="00271A67" w:rsidRDefault="00E87FC3" w:rsidP="00E87FC3">
      <w:pPr>
        <w:ind w:left="708"/>
        <w:jc w:val="both"/>
        <w:rPr>
          <w:lang w:val="es-MX"/>
        </w:rPr>
      </w:pPr>
      <w:r>
        <w:rPr>
          <w:lang w:val="es-MX"/>
        </w:rPr>
        <w:lastRenderedPageBreak/>
        <w:t xml:space="preserve">Así, el diagnostico se valora por el Instituto como medianamente pertinente. </w:t>
      </w:r>
      <w:r w:rsidRPr="00271A67">
        <w:rPr>
          <w:lang w:val="es-MX"/>
        </w:rPr>
        <w:t>La problemática en general es vigente</w:t>
      </w:r>
      <w:r>
        <w:rPr>
          <w:lang w:val="es-MX"/>
        </w:rPr>
        <w:t xml:space="preserve"> (puntaje 3/5)</w:t>
      </w:r>
      <w:r w:rsidRPr="00271A67">
        <w:rPr>
          <w:lang w:val="es-MX"/>
        </w:rPr>
        <w:t>; sin embargo, los avances han sido significativos no sólo al interior del Instituto sino en el desarrollo de capacidades del personal del Ejecutivo estatal que por cuestión laboral está vinculado a fines estadísticos y geográficos</w:t>
      </w:r>
      <w:r>
        <w:rPr>
          <w:lang w:val="es-MX"/>
        </w:rPr>
        <w:t>, por lo que se considera la posibilidad de actualizar el diagnóstico para reflejar aquellos retos que no han sido plasmados a pesar de la revisión anual.</w:t>
      </w:r>
    </w:p>
    <w:p w14:paraId="4B2E5706" w14:textId="77777777" w:rsidR="00E87FC3" w:rsidRDefault="00E87FC3" w:rsidP="00E87FC3">
      <w:pPr>
        <w:rPr>
          <w:lang w:val="es-MX"/>
        </w:rPr>
      </w:pPr>
    </w:p>
    <w:p w14:paraId="4BCD6FD9" w14:textId="77777777" w:rsidR="00E87FC3" w:rsidRDefault="00E87FC3" w:rsidP="00E87FC3">
      <w:pPr>
        <w:rPr>
          <w:b/>
          <w:lang w:val="es-MX"/>
        </w:rPr>
      </w:pPr>
      <w:r>
        <w:rPr>
          <w:b/>
          <w:lang w:val="es-MX"/>
        </w:rPr>
        <w:t>Objetivos del Plan Institucional</w:t>
      </w:r>
    </w:p>
    <w:p w14:paraId="169C1553" w14:textId="2D6B0399" w:rsidR="0050666E" w:rsidRDefault="0050666E" w:rsidP="00E87FC3">
      <w:pPr>
        <w:jc w:val="right"/>
        <w:rPr>
          <w:rFonts w:ascii="Arial" w:hAnsi="Arial"/>
          <w:sz w:val="22"/>
          <w:szCs w:val="22"/>
          <w:lang w:val="es-MX"/>
        </w:rPr>
      </w:pPr>
    </w:p>
    <w:tbl>
      <w:tblPr>
        <w:tblStyle w:val="Tablaconcuadrcula"/>
        <w:tblW w:w="9964" w:type="dxa"/>
        <w:tblInd w:w="-431" w:type="dxa"/>
        <w:tblLayout w:type="fixed"/>
        <w:tblLook w:val="04A0" w:firstRow="1" w:lastRow="0" w:firstColumn="1" w:lastColumn="0" w:noHBand="0" w:noVBand="1"/>
      </w:tblPr>
      <w:tblGrid>
        <w:gridCol w:w="4064"/>
        <w:gridCol w:w="1180"/>
        <w:gridCol w:w="1180"/>
        <w:gridCol w:w="1180"/>
        <w:gridCol w:w="1180"/>
        <w:gridCol w:w="1180"/>
      </w:tblGrid>
      <w:tr w:rsidR="00E87FC3" w14:paraId="0AC8E062" w14:textId="77777777" w:rsidTr="00E87FC3">
        <w:trPr>
          <w:trHeight w:val="920"/>
        </w:trPr>
        <w:tc>
          <w:tcPr>
            <w:tcW w:w="4064" w:type="dxa"/>
            <w:vAlign w:val="center"/>
          </w:tcPr>
          <w:p w14:paraId="392973AC" w14:textId="77777777" w:rsidR="00E87FC3" w:rsidRPr="00484460" w:rsidRDefault="00E87FC3" w:rsidP="00F41875">
            <w:pPr>
              <w:jc w:val="center"/>
              <w:rPr>
                <w:b/>
                <w:sz w:val="20"/>
                <w:lang w:val="es-MX"/>
              </w:rPr>
            </w:pPr>
            <w:r w:rsidRPr="00484460">
              <w:rPr>
                <w:b/>
                <w:sz w:val="20"/>
                <w:lang w:val="es-MX"/>
              </w:rPr>
              <w:t xml:space="preserve">Objetivos </w:t>
            </w:r>
          </w:p>
          <w:p w14:paraId="06476C92" w14:textId="77777777" w:rsidR="00E87FC3" w:rsidRPr="00484460" w:rsidRDefault="00E87FC3" w:rsidP="00F41875">
            <w:pPr>
              <w:jc w:val="center"/>
              <w:rPr>
                <w:b/>
                <w:sz w:val="20"/>
                <w:lang w:val="es-MX"/>
              </w:rPr>
            </w:pPr>
            <w:r w:rsidRPr="00484460">
              <w:rPr>
                <w:b/>
                <w:sz w:val="20"/>
                <w:lang w:val="es-MX"/>
              </w:rPr>
              <w:t>Sustantivos</w:t>
            </w:r>
          </w:p>
        </w:tc>
        <w:tc>
          <w:tcPr>
            <w:tcW w:w="1180" w:type="dxa"/>
            <w:vAlign w:val="center"/>
          </w:tcPr>
          <w:p w14:paraId="7D1CE3C5" w14:textId="77777777" w:rsidR="00E87FC3" w:rsidRPr="00484460" w:rsidRDefault="00E87FC3" w:rsidP="00F41875">
            <w:pPr>
              <w:jc w:val="center"/>
              <w:rPr>
                <w:b/>
                <w:sz w:val="20"/>
                <w:lang w:val="es-MX"/>
              </w:rPr>
            </w:pPr>
            <w:proofErr w:type="spellStart"/>
            <w:r w:rsidRPr="00484460">
              <w:rPr>
                <w:b/>
                <w:sz w:val="20"/>
                <w:lang w:val="es-MX"/>
              </w:rPr>
              <w:t>Autoev</w:t>
            </w:r>
            <w:proofErr w:type="spellEnd"/>
            <w:r w:rsidRPr="00484460">
              <w:rPr>
                <w:b/>
                <w:sz w:val="20"/>
                <w:lang w:val="es-MX"/>
              </w:rPr>
              <w:t>.</w:t>
            </w:r>
          </w:p>
          <w:p w14:paraId="585AE863" w14:textId="77777777" w:rsidR="00E87FC3" w:rsidRPr="00484460" w:rsidRDefault="00E87FC3" w:rsidP="00F41875">
            <w:pPr>
              <w:jc w:val="center"/>
              <w:rPr>
                <w:b/>
                <w:sz w:val="20"/>
                <w:lang w:val="es-MX"/>
              </w:rPr>
            </w:pPr>
            <w:r w:rsidRPr="00484460">
              <w:rPr>
                <w:b/>
                <w:sz w:val="20"/>
                <w:lang w:val="es-MX"/>
              </w:rPr>
              <w:t>Suficiencia</w:t>
            </w:r>
          </w:p>
        </w:tc>
        <w:tc>
          <w:tcPr>
            <w:tcW w:w="1180" w:type="dxa"/>
          </w:tcPr>
          <w:p w14:paraId="3292067E" w14:textId="77777777" w:rsidR="00E87FC3" w:rsidRPr="00484460" w:rsidRDefault="00E87FC3" w:rsidP="00F41875">
            <w:pPr>
              <w:jc w:val="center"/>
              <w:rPr>
                <w:b/>
                <w:sz w:val="20"/>
                <w:lang w:val="es-MX"/>
              </w:rPr>
            </w:pPr>
          </w:p>
        </w:tc>
        <w:tc>
          <w:tcPr>
            <w:tcW w:w="1180" w:type="dxa"/>
            <w:vAlign w:val="center"/>
          </w:tcPr>
          <w:p w14:paraId="270FD229" w14:textId="77777777" w:rsidR="00E87FC3" w:rsidRPr="00484460" w:rsidRDefault="00E87FC3" w:rsidP="00F41875">
            <w:pPr>
              <w:jc w:val="center"/>
              <w:rPr>
                <w:b/>
                <w:sz w:val="20"/>
                <w:lang w:val="es-MX"/>
              </w:rPr>
            </w:pPr>
            <w:r w:rsidRPr="00484460">
              <w:rPr>
                <w:b/>
                <w:sz w:val="20"/>
                <w:lang w:val="es-MX"/>
              </w:rPr>
              <w:t>Evaluación Suficiencia</w:t>
            </w:r>
          </w:p>
        </w:tc>
        <w:tc>
          <w:tcPr>
            <w:tcW w:w="1180" w:type="dxa"/>
            <w:vAlign w:val="center"/>
          </w:tcPr>
          <w:p w14:paraId="24FE4630" w14:textId="77777777" w:rsidR="00E87FC3" w:rsidRPr="00484460" w:rsidRDefault="00E87FC3" w:rsidP="00F41875">
            <w:pPr>
              <w:jc w:val="center"/>
              <w:rPr>
                <w:b/>
                <w:sz w:val="20"/>
                <w:lang w:val="es-MX"/>
              </w:rPr>
            </w:pPr>
            <w:proofErr w:type="spellStart"/>
            <w:r w:rsidRPr="00484460">
              <w:rPr>
                <w:b/>
                <w:sz w:val="20"/>
                <w:lang w:val="es-MX"/>
              </w:rPr>
              <w:t>Autoev</w:t>
            </w:r>
            <w:proofErr w:type="spellEnd"/>
            <w:r w:rsidRPr="00484460">
              <w:rPr>
                <w:b/>
                <w:sz w:val="20"/>
                <w:lang w:val="es-MX"/>
              </w:rPr>
              <w:t>.</w:t>
            </w:r>
          </w:p>
          <w:p w14:paraId="49D76A5E" w14:textId="77777777" w:rsidR="00E87FC3" w:rsidRPr="00484460" w:rsidRDefault="00E87FC3" w:rsidP="00F41875">
            <w:pPr>
              <w:jc w:val="center"/>
              <w:rPr>
                <w:b/>
                <w:sz w:val="20"/>
                <w:lang w:val="es-MX"/>
              </w:rPr>
            </w:pPr>
            <w:r w:rsidRPr="00484460">
              <w:rPr>
                <w:b/>
                <w:sz w:val="20"/>
                <w:lang w:val="es-MX"/>
              </w:rPr>
              <w:t>Calidad de indicadores</w:t>
            </w:r>
          </w:p>
        </w:tc>
        <w:tc>
          <w:tcPr>
            <w:tcW w:w="1180" w:type="dxa"/>
            <w:vAlign w:val="center"/>
          </w:tcPr>
          <w:p w14:paraId="68186433" w14:textId="77777777" w:rsidR="00E87FC3" w:rsidRPr="00484460" w:rsidRDefault="00E87FC3" w:rsidP="00F41875">
            <w:pPr>
              <w:jc w:val="center"/>
              <w:rPr>
                <w:b/>
                <w:sz w:val="20"/>
                <w:lang w:val="es-MX"/>
              </w:rPr>
            </w:pPr>
            <w:r w:rsidRPr="00484460">
              <w:rPr>
                <w:b/>
                <w:sz w:val="20"/>
                <w:lang w:val="es-MX"/>
              </w:rPr>
              <w:t>Evaluación Calidad de indicadores</w:t>
            </w:r>
          </w:p>
        </w:tc>
      </w:tr>
      <w:tr w:rsidR="00E87FC3" w14:paraId="46C7C1BD" w14:textId="77777777" w:rsidTr="00E87FC3">
        <w:trPr>
          <w:trHeight w:val="1157"/>
        </w:trPr>
        <w:tc>
          <w:tcPr>
            <w:tcW w:w="4064" w:type="dxa"/>
          </w:tcPr>
          <w:p w14:paraId="5754B9A3" w14:textId="77777777" w:rsidR="00E87FC3" w:rsidRPr="00484460" w:rsidRDefault="00E87FC3" w:rsidP="00F41875">
            <w:pPr>
              <w:ind w:left="29"/>
              <w:rPr>
                <w:i/>
                <w:sz w:val="20"/>
                <w:lang w:val="es-MX"/>
              </w:rPr>
            </w:pPr>
            <w:r w:rsidRPr="00484460">
              <w:rPr>
                <w:i/>
                <w:sz w:val="20"/>
                <w:lang w:val="es-MX"/>
              </w:rPr>
              <w:t xml:space="preserve">Contribuir al desarrollo de proyectos potenciales de inversión en el estado, mediante la generación de información de calidad estadística económica-financiera, socio-demográfica y geográfica-ambiental. </w:t>
            </w:r>
          </w:p>
        </w:tc>
        <w:tc>
          <w:tcPr>
            <w:tcW w:w="1180" w:type="dxa"/>
            <w:vAlign w:val="center"/>
          </w:tcPr>
          <w:p w14:paraId="6862783B" w14:textId="77777777" w:rsidR="00E87FC3" w:rsidRPr="00484460" w:rsidRDefault="00E87FC3" w:rsidP="00F41875">
            <w:pPr>
              <w:jc w:val="center"/>
              <w:rPr>
                <w:b/>
                <w:sz w:val="20"/>
                <w:lang w:val="es-MX"/>
              </w:rPr>
            </w:pPr>
            <w:r w:rsidRPr="00484460">
              <w:rPr>
                <w:sz w:val="20"/>
                <w:lang w:val="es-MX"/>
              </w:rPr>
              <w:t>29/35</w:t>
            </w:r>
          </w:p>
        </w:tc>
        <w:tc>
          <w:tcPr>
            <w:tcW w:w="1180" w:type="dxa"/>
          </w:tcPr>
          <w:p w14:paraId="24AB5D5B" w14:textId="77777777" w:rsidR="00E87FC3" w:rsidRPr="00484460" w:rsidRDefault="00E87FC3" w:rsidP="00F41875">
            <w:pPr>
              <w:jc w:val="center"/>
              <w:rPr>
                <w:sz w:val="20"/>
                <w:lang w:val="es-MX"/>
              </w:rPr>
            </w:pPr>
          </w:p>
        </w:tc>
        <w:tc>
          <w:tcPr>
            <w:tcW w:w="1180" w:type="dxa"/>
            <w:vAlign w:val="center"/>
          </w:tcPr>
          <w:p w14:paraId="5D293171" w14:textId="77777777" w:rsidR="00E87FC3" w:rsidRPr="00484460" w:rsidRDefault="00E87FC3" w:rsidP="00F41875">
            <w:pPr>
              <w:jc w:val="center"/>
              <w:rPr>
                <w:b/>
                <w:sz w:val="20"/>
                <w:lang w:val="es-MX"/>
              </w:rPr>
            </w:pPr>
            <w:r w:rsidRPr="00484460">
              <w:rPr>
                <w:sz w:val="20"/>
                <w:lang w:val="es-MX"/>
              </w:rPr>
              <w:t>26/35</w:t>
            </w:r>
          </w:p>
        </w:tc>
        <w:tc>
          <w:tcPr>
            <w:tcW w:w="1180" w:type="dxa"/>
            <w:vAlign w:val="center"/>
          </w:tcPr>
          <w:p w14:paraId="105A9D89" w14:textId="77777777" w:rsidR="00E87FC3" w:rsidRDefault="00E87FC3" w:rsidP="00F41875">
            <w:pPr>
              <w:jc w:val="center"/>
            </w:pPr>
            <w:r>
              <w:rPr>
                <w:sz w:val="20"/>
                <w:lang w:val="es-MX"/>
              </w:rPr>
              <w:t>13</w:t>
            </w:r>
            <w:r w:rsidRPr="00123D1A">
              <w:rPr>
                <w:sz w:val="20"/>
                <w:lang w:val="es-MX"/>
              </w:rPr>
              <w:t>/</w:t>
            </w:r>
            <w:r>
              <w:rPr>
                <w:sz w:val="20"/>
                <w:lang w:val="es-MX"/>
              </w:rPr>
              <w:t>2</w:t>
            </w:r>
            <w:r w:rsidRPr="00123D1A">
              <w:rPr>
                <w:sz w:val="20"/>
                <w:lang w:val="es-MX"/>
              </w:rPr>
              <w:t>5</w:t>
            </w:r>
          </w:p>
        </w:tc>
        <w:tc>
          <w:tcPr>
            <w:tcW w:w="1180" w:type="dxa"/>
            <w:vAlign w:val="center"/>
          </w:tcPr>
          <w:p w14:paraId="7F5A504E" w14:textId="77777777" w:rsidR="00E87FC3" w:rsidRDefault="00E87FC3" w:rsidP="00F41875">
            <w:pPr>
              <w:jc w:val="center"/>
            </w:pPr>
            <w:r>
              <w:rPr>
                <w:sz w:val="20"/>
                <w:lang w:val="es-MX"/>
              </w:rPr>
              <w:t>16</w:t>
            </w:r>
            <w:r w:rsidRPr="00123D1A">
              <w:rPr>
                <w:sz w:val="20"/>
                <w:lang w:val="es-MX"/>
              </w:rPr>
              <w:t>/</w:t>
            </w:r>
            <w:r>
              <w:rPr>
                <w:sz w:val="20"/>
                <w:lang w:val="es-MX"/>
              </w:rPr>
              <w:t>2</w:t>
            </w:r>
            <w:r w:rsidRPr="00123D1A">
              <w:rPr>
                <w:sz w:val="20"/>
                <w:lang w:val="es-MX"/>
              </w:rPr>
              <w:t>5</w:t>
            </w:r>
          </w:p>
        </w:tc>
      </w:tr>
      <w:tr w:rsidR="00E87FC3" w:rsidRPr="00484460" w14:paraId="6511AC42" w14:textId="77777777" w:rsidTr="00E87FC3">
        <w:trPr>
          <w:trHeight w:val="697"/>
        </w:trPr>
        <w:tc>
          <w:tcPr>
            <w:tcW w:w="4064" w:type="dxa"/>
          </w:tcPr>
          <w:p w14:paraId="78603DCF" w14:textId="77777777" w:rsidR="00E87FC3" w:rsidRPr="00484460" w:rsidRDefault="00E87FC3" w:rsidP="00F41875">
            <w:pPr>
              <w:ind w:left="29"/>
              <w:rPr>
                <w:i/>
                <w:sz w:val="20"/>
                <w:lang w:val="es-MX"/>
              </w:rPr>
            </w:pPr>
            <w:r w:rsidRPr="00484460">
              <w:rPr>
                <w:i/>
                <w:sz w:val="20"/>
                <w:lang w:val="es-MX"/>
              </w:rPr>
              <w:t>Concentrar y sistematizar la información estadística en el Sistema de Información Estratégica del Estado de Jalisco y sus Municipios.</w:t>
            </w:r>
          </w:p>
        </w:tc>
        <w:tc>
          <w:tcPr>
            <w:tcW w:w="1180" w:type="dxa"/>
            <w:vAlign w:val="center"/>
          </w:tcPr>
          <w:p w14:paraId="1F301959" w14:textId="77777777" w:rsidR="00E87FC3" w:rsidRPr="00484460" w:rsidRDefault="00E87FC3" w:rsidP="00F41875">
            <w:pPr>
              <w:ind w:left="29"/>
              <w:jc w:val="center"/>
              <w:rPr>
                <w:i/>
                <w:sz w:val="20"/>
                <w:lang w:val="es-MX"/>
              </w:rPr>
            </w:pPr>
            <w:r w:rsidRPr="00484460">
              <w:rPr>
                <w:sz w:val="20"/>
                <w:lang w:val="es-MX"/>
              </w:rPr>
              <w:t>30/35</w:t>
            </w:r>
          </w:p>
        </w:tc>
        <w:tc>
          <w:tcPr>
            <w:tcW w:w="1180" w:type="dxa"/>
          </w:tcPr>
          <w:p w14:paraId="13493B95" w14:textId="77777777" w:rsidR="00E87FC3" w:rsidRPr="00484460" w:rsidRDefault="00E87FC3" w:rsidP="00F41875">
            <w:pPr>
              <w:ind w:left="29"/>
              <w:jc w:val="center"/>
              <w:rPr>
                <w:sz w:val="20"/>
                <w:lang w:val="es-MX"/>
              </w:rPr>
            </w:pPr>
          </w:p>
        </w:tc>
        <w:tc>
          <w:tcPr>
            <w:tcW w:w="1180" w:type="dxa"/>
            <w:vAlign w:val="center"/>
          </w:tcPr>
          <w:p w14:paraId="7B7F8B35" w14:textId="77777777" w:rsidR="00E87FC3" w:rsidRPr="00484460" w:rsidRDefault="00E87FC3" w:rsidP="00F41875">
            <w:pPr>
              <w:ind w:left="29"/>
              <w:jc w:val="center"/>
              <w:rPr>
                <w:i/>
                <w:sz w:val="20"/>
                <w:lang w:val="es-MX"/>
              </w:rPr>
            </w:pPr>
            <w:r w:rsidRPr="00484460">
              <w:rPr>
                <w:sz w:val="20"/>
                <w:lang w:val="es-MX"/>
              </w:rPr>
              <w:t>19/35</w:t>
            </w:r>
          </w:p>
        </w:tc>
        <w:tc>
          <w:tcPr>
            <w:tcW w:w="1180" w:type="dxa"/>
            <w:vAlign w:val="center"/>
          </w:tcPr>
          <w:p w14:paraId="670C666A" w14:textId="77777777" w:rsidR="00E87FC3" w:rsidRDefault="00E87FC3" w:rsidP="00F41875">
            <w:pPr>
              <w:jc w:val="center"/>
            </w:pPr>
            <w:r>
              <w:rPr>
                <w:sz w:val="20"/>
                <w:lang w:val="es-MX"/>
              </w:rPr>
              <w:t>15</w:t>
            </w:r>
            <w:r w:rsidRPr="00123D1A">
              <w:rPr>
                <w:sz w:val="20"/>
                <w:lang w:val="es-MX"/>
              </w:rPr>
              <w:t>/</w:t>
            </w:r>
            <w:r>
              <w:rPr>
                <w:sz w:val="20"/>
                <w:lang w:val="es-MX"/>
              </w:rPr>
              <w:t>2</w:t>
            </w:r>
            <w:r w:rsidRPr="00123D1A">
              <w:rPr>
                <w:sz w:val="20"/>
                <w:lang w:val="es-MX"/>
              </w:rPr>
              <w:t>5</w:t>
            </w:r>
          </w:p>
        </w:tc>
        <w:tc>
          <w:tcPr>
            <w:tcW w:w="1180" w:type="dxa"/>
            <w:vAlign w:val="center"/>
          </w:tcPr>
          <w:p w14:paraId="61C1DB94" w14:textId="77777777" w:rsidR="00E87FC3" w:rsidRDefault="00E87FC3" w:rsidP="00F41875">
            <w:pPr>
              <w:jc w:val="center"/>
            </w:pPr>
            <w:r>
              <w:rPr>
                <w:sz w:val="20"/>
                <w:lang w:val="es-MX"/>
              </w:rPr>
              <w:t>9</w:t>
            </w:r>
            <w:r w:rsidRPr="00123D1A">
              <w:rPr>
                <w:sz w:val="20"/>
                <w:lang w:val="es-MX"/>
              </w:rPr>
              <w:t>/</w:t>
            </w:r>
            <w:r>
              <w:rPr>
                <w:sz w:val="20"/>
                <w:lang w:val="es-MX"/>
              </w:rPr>
              <w:t>2</w:t>
            </w:r>
            <w:r w:rsidRPr="00123D1A">
              <w:rPr>
                <w:sz w:val="20"/>
                <w:lang w:val="es-MX"/>
              </w:rPr>
              <w:t>5</w:t>
            </w:r>
          </w:p>
        </w:tc>
      </w:tr>
      <w:tr w:rsidR="00E87FC3" w:rsidRPr="00484460" w14:paraId="7C4F42A2" w14:textId="77777777" w:rsidTr="00E87FC3">
        <w:trPr>
          <w:trHeight w:val="1143"/>
        </w:trPr>
        <w:tc>
          <w:tcPr>
            <w:tcW w:w="4064" w:type="dxa"/>
          </w:tcPr>
          <w:p w14:paraId="720A449A" w14:textId="77777777" w:rsidR="00E87FC3" w:rsidRPr="00484460" w:rsidRDefault="00E87FC3" w:rsidP="00F41875">
            <w:pPr>
              <w:ind w:left="29"/>
              <w:rPr>
                <w:i/>
                <w:sz w:val="20"/>
                <w:lang w:val="es-MX"/>
              </w:rPr>
            </w:pPr>
            <w:r w:rsidRPr="00484460">
              <w:rPr>
                <w:i/>
                <w:sz w:val="20"/>
                <w:lang w:val="es-MX"/>
              </w:rPr>
              <w:t>Recomendar a las instituciones públicas las políticas de manejo, actualización, mantenimiento, digitalización y sistematización de la información estadística susceptible de ser utilizada por el Instituto.</w:t>
            </w:r>
          </w:p>
        </w:tc>
        <w:tc>
          <w:tcPr>
            <w:tcW w:w="1180" w:type="dxa"/>
            <w:vAlign w:val="center"/>
          </w:tcPr>
          <w:p w14:paraId="0EF6C5FA" w14:textId="77777777" w:rsidR="00E87FC3" w:rsidRPr="00484460" w:rsidRDefault="00E87FC3" w:rsidP="00F41875">
            <w:pPr>
              <w:ind w:left="29"/>
              <w:jc w:val="center"/>
              <w:rPr>
                <w:i/>
                <w:sz w:val="20"/>
                <w:lang w:val="es-MX"/>
              </w:rPr>
            </w:pPr>
            <w:r w:rsidRPr="00484460">
              <w:rPr>
                <w:sz w:val="20"/>
                <w:lang w:val="es-MX"/>
              </w:rPr>
              <w:t>31/35</w:t>
            </w:r>
          </w:p>
        </w:tc>
        <w:tc>
          <w:tcPr>
            <w:tcW w:w="1180" w:type="dxa"/>
          </w:tcPr>
          <w:p w14:paraId="2C15CF61" w14:textId="77777777" w:rsidR="00E87FC3" w:rsidRPr="00484460" w:rsidRDefault="00E87FC3" w:rsidP="00F41875">
            <w:pPr>
              <w:ind w:left="29"/>
              <w:jc w:val="center"/>
              <w:rPr>
                <w:sz w:val="20"/>
                <w:lang w:val="es-MX"/>
              </w:rPr>
            </w:pPr>
          </w:p>
        </w:tc>
        <w:tc>
          <w:tcPr>
            <w:tcW w:w="1180" w:type="dxa"/>
            <w:vAlign w:val="center"/>
          </w:tcPr>
          <w:p w14:paraId="5BC1819F" w14:textId="77777777" w:rsidR="00E87FC3" w:rsidRPr="00484460" w:rsidRDefault="00E87FC3" w:rsidP="00F41875">
            <w:pPr>
              <w:ind w:left="29"/>
              <w:jc w:val="center"/>
              <w:rPr>
                <w:i/>
                <w:sz w:val="20"/>
                <w:lang w:val="es-MX"/>
              </w:rPr>
            </w:pPr>
            <w:r w:rsidRPr="00484460">
              <w:rPr>
                <w:sz w:val="20"/>
                <w:lang w:val="es-MX"/>
              </w:rPr>
              <w:t>33/35</w:t>
            </w:r>
          </w:p>
        </w:tc>
        <w:tc>
          <w:tcPr>
            <w:tcW w:w="1180" w:type="dxa"/>
            <w:vAlign w:val="center"/>
          </w:tcPr>
          <w:p w14:paraId="2996923F" w14:textId="77777777" w:rsidR="00E87FC3" w:rsidRDefault="00E87FC3" w:rsidP="00F41875">
            <w:pPr>
              <w:jc w:val="center"/>
            </w:pPr>
            <w:r>
              <w:rPr>
                <w:sz w:val="20"/>
                <w:lang w:val="es-MX"/>
              </w:rPr>
              <w:t>16</w:t>
            </w:r>
            <w:r w:rsidRPr="00123D1A">
              <w:rPr>
                <w:sz w:val="20"/>
                <w:lang w:val="es-MX"/>
              </w:rPr>
              <w:t>/</w:t>
            </w:r>
            <w:r>
              <w:rPr>
                <w:sz w:val="20"/>
                <w:lang w:val="es-MX"/>
              </w:rPr>
              <w:t>2</w:t>
            </w:r>
            <w:r w:rsidRPr="00123D1A">
              <w:rPr>
                <w:sz w:val="20"/>
                <w:lang w:val="es-MX"/>
              </w:rPr>
              <w:t>5</w:t>
            </w:r>
          </w:p>
        </w:tc>
        <w:tc>
          <w:tcPr>
            <w:tcW w:w="1180" w:type="dxa"/>
            <w:vAlign w:val="center"/>
          </w:tcPr>
          <w:p w14:paraId="10753A6E" w14:textId="77777777" w:rsidR="00E87FC3" w:rsidRDefault="00E87FC3" w:rsidP="00F41875">
            <w:pPr>
              <w:jc w:val="center"/>
            </w:pPr>
            <w:r>
              <w:rPr>
                <w:sz w:val="20"/>
                <w:lang w:val="es-MX"/>
              </w:rPr>
              <w:t>11</w:t>
            </w:r>
            <w:r w:rsidRPr="00123D1A">
              <w:rPr>
                <w:sz w:val="20"/>
                <w:lang w:val="es-MX"/>
              </w:rPr>
              <w:t>/</w:t>
            </w:r>
            <w:r>
              <w:rPr>
                <w:sz w:val="20"/>
                <w:lang w:val="es-MX"/>
              </w:rPr>
              <w:t>2</w:t>
            </w:r>
            <w:r w:rsidRPr="00123D1A">
              <w:rPr>
                <w:sz w:val="20"/>
                <w:lang w:val="es-MX"/>
              </w:rPr>
              <w:t>5</w:t>
            </w:r>
          </w:p>
        </w:tc>
      </w:tr>
      <w:tr w:rsidR="00E87FC3" w:rsidRPr="00484460" w14:paraId="6B69702C" w14:textId="77777777" w:rsidTr="00E87FC3">
        <w:trPr>
          <w:trHeight w:val="1157"/>
        </w:trPr>
        <w:tc>
          <w:tcPr>
            <w:tcW w:w="4064" w:type="dxa"/>
          </w:tcPr>
          <w:p w14:paraId="07BC354B" w14:textId="77777777" w:rsidR="00E87FC3" w:rsidRPr="00484460" w:rsidRDefault="00E87FC3" w:rsidP="00F41875">
            <w:pPr>
              <w:ind w:left="29"/>
              <w:rPr>
                <w:i/>
                <w:sz w:val="20"/>
                <w:lang w:val="es-MX"/>
              </w:rPr>
            </w:pPr>
            <w:r w:rsidRPr="00484460">
              <w:rPr>
                <w:i/>
                <w:sz w:val="20"/>
                <w:lang w:val="es-MX"/>
              </w:rPr>
              <w:t>Diseñar, crear, reestructurar e innovar los métodos, normas, sistemas y procedimientos que permitan la búsqueda, generación, análisis, clasificación y difusión de la información estadística.</w:t>
            </w:r>
          </w:p>
        </w:tc>
        <w:tc>
          <w:tcPr>
            <w:tcW w:w="1180" w:type="dxa"/>
            <w:vAlign w:val="center"/>
          </w:tcPr>
          <w:p w14:paraId="5A553C36" w14:textId="77777777" w:rsidR="00E87FC3" w:rsidRPr="00484460" w:rsidRDefault="00E87FC3" w:rsidP="00F41875">
            <w:pPr>
              <w:ind w:left="29"/>
              <w:jc w:val="center"/>
              <w:rPr>
                <w:i/>
                <w:sz w:val="20"/>
                <w:lang w:val="es-MX"/>
              </w:rPr>
            </w:pPr>
            <w:r w:rsidRPr="00484460">
              <w:rPr>
                <w:sz w:val="20"/>
                <w:lang w:val="es-MX"/>
              </w:rPr>
              <w:t>28/35</w:t>
            </w:r>
          </w:p>
        </w:tc>
        <w:tc>
          <w:tcPr>
            <w:tcW w:w="1180" w:type="dxa"/>
          </w:tcPr>
          <w:p w14:paraId="12F3C5C7" w14:textId="77777777" w:rsidR="00E87FC3" w:rsidRPr="00484460" w:rsidRDefault="00E87FC3" w:rsidP="00F41875">
            <w:pPr>
              <w:ind w:left="29"/>
              <w:jc w:val="center"/>
              <w:rPr>
                <w:sz w:val="20"/>
                <w:lang w:val="es-MX"/>
              </w:rPr>
            </w:pPr>
          </w:p>
        </w:tc>
        <w:tc>
          <w:tcPr>
            <w:tcW w:w="1180" w:type="dxa"/>
            <w:vAlign w:val="center"/>
          </w:tcPr>
          <w:p w14:paraId="2CF714D2" w14:textId="77777777" w:rsidR="00E87FC3" w:rsidRPr="00484460" w:rsidRDefault="00E87FC3" w:rsidP="00F41875">
            <w:pPr>
              <w:ind w:left="29"/>
              <w:jc w:val="center"/>
              <w:rPr>
                <w:i/>
                <w:sz w:val="20"/>
                <w:lang w:val="es-MX"/>
              </w:rPr>
            </w:pPr>
            <w:r w:rsidRPr="00484460">
              <w:rPr>
                <w:sz w:val="20"/>
                <w:lang w:val="es-MX"/>
              </w:rPr>
              <w:t>20/35</w:t>
            </w:r>
          </w:p>
        </w:tc>
        <w:tc>
          <w:tcPr>
            <w:tcW w:w="1180" w:type="dxa"/>
            <w:vAlign w:val="center"/>
          </w:tcPr>
          <w:p w14:paraId="1DE6989A" w14:textId="77777777" w:rsidR="00E87FC3" w:rsidRDefault="00E87FC3" w:rsidP="00F41875">
            <w:pPr>
              <w:jc w:val="center"/>
            </w:pPr>
            <w:r>
              <w:rPr>
                <w:sz w:val="20"/>
                <w:lang w:val="es-MX"/>
              </w:rPr>
              <w:t>13</w:t>
            </w:r>
            <w:r w:rsidRPr="00123D1A">
              <w:rPr>
                <w:sz w:val="20"/>
                <w:lang w:val="es-MX"/>
              </w:rPr>
              <w:t>/</w:t>
            </w:r>
            <w:r>
              <w:rPr>
                <w:sz w:val="20"/>
                <w:lang w:val="es-MX"/>
              </w:rPr>
              <w:t>2</w:t>
            </w:r>
            <w:r w:rsidRPr="00123D1A">
              <w:rPr>
                <w:sz w:val="20"/>
                <w:lang w:val="es-MX"/>
              </w:rPr>
              <w:t>5</w:t>
            </w:r>
          </w:p>
        </w:tc>
        <w:tc>
          <w:tcPr>
            <w:tcW w:w="1180" w:type="dxa"/>
            <w:vAlign w:val="center"/>
          </w:tcPr>
          <w:p w14:paraId="32791D65" w14:textId="77777777" w:rsidR="00E87FC3" w:rsidRDefault="00E87FC3" w:rsidP="00F41875">
            <w:pPr>
              <w:jc w:val="center"/>
            </w:pPr>
            <w:r>
              <w:rPr>
                <w:sz w:val="20"/>
                <w:lang w:val="es-MX"/>
              </w:rPr>
              <w:t>8</w:t>
            </w:r>
            <w:r w:rsidRPr="00123D1A">
              <w:rPr>
                <w:sz w:val="20"/>
                <w:lang w:val="es-MX"/>
              </w:rPr>
              <w:t>/</w:t>
            </w:r>
            <w:r>
              <w:rPr>
                <w:sz w:val="20"/>
                <w:lang w:val="es-MX"/>
              </w:rPr>
              <w:t>2</w:t>
            </w:r>
            <w:r w:rsidRPr="00123D1A">
              <w:rPr>
                <w:sz w:val="20"/>
                <w:lang w:val="es-MX"/>
              </w:rPr>
              <w:t>5</w:t>
            </w:r>
          </w:p>
        </w:tc>
      </w:tr>
      <w:tr w:rsidR="00E87FC3" w:rsidRPr="00484460" w14:paraId="7DBFD962" w14:textId="77777777" w:rsidTr="00E87FC3">
        <w:trPr>
          <w:trHeight w:val="1395"/>
        </w:trPr>
        <w:tc>
          <w:tcPr>
            <w:tcW w:w="4064" w:type="dxa"/>
          </w:tcPr>
          <w:p w14:paraId="470148F0" w14:textId="77777777" w:rsidR="00E87FC3" w:rsidRPr="00484460" w:rsidRDefault="00E87FC3" w:rsidP="00F41875">
            <w:pPr>
              <w:ind w:left="29"/>
              <w:rPr>
                <w:i/>
                <w:sz w:val="20"/>
                <w:lang w:val="es-MX"/>
              </w:rPr>
            </w:pPr>
            <w:r w:rsidRPr="00484460">
              <w:rPr>
                <w:i/>
                <w:sz w:val="20"/>
                <w:lang w:val="es-MX"/>
              </w:rPr>
              <w:t>Establecer y promover el servicio estatal de información y documentación científica y tecnológica de recursos humanos, materiales, organizativos y financieros, destinados a la investigación científica y al desarrollo tecnológico de la Entidad.</w:t>
            </w:r>
          </w:p>
        </w:tc>
        <w:tc>
          <w:tcPr>
            <w:tcW w:w="1180" w:type="dxa"/>
            <w:vAlign w:val="center"/>
          </w:tcPr>
          <w:p w14:paraId="1757E9E5" w14:textId="77777777" w:rsidR="00E87FC3" w:rsidRPr="00484460" w:rsidRDefault="00E87FC3" w:rsidP="00F41875">
            <w:pPr>
              <w:ind w:left="29"/>
              <w:jc w:val="center"/>
              <w:rPr>
                <w:i/>
                <w:sz w:val="20"/>
                <w:lang w:val="es-MX"/>
              </w:rPr>
            </w:pPr>
            <w:r w:rsidRPr="00484460">
              <w:rPr>
                <w:sz w:val="20"/>
                <w:lang w:val="es-MX"/>
              </w:rPr>
              <w:t>30/35</w:t>
            </w:r>
          </w:p>
        </w:tc>
        <w:tc>
          <w:tcPr>
            <w:tcW w:w="1180" w:type="dxa"/>
          </w:tcPr>
          <w:p w14:paraId="22B4AD57" w14:textId="77777777" w:rsidR="00E87FC3" w:rsidRPr="00484460" w:rsidRDefault="00E87FC3" w:rsidP="00F41875">
            <w:pPr>
              <w:ind w:left="29"/>
              <w:jc w:val="center"/>
              <w:rPr>
                <w:sz w:val="20"/>
                <w:lang w:val="es-MX"/>
              </w:rPr>
            </w:pPr>
          </w:p>
        </w:tc>
        <w:tc>
          <w:tcPr>
            <w:tcW w:w="1180" w:type="dxa"/>
            <w:vAlign w:val="center"/>
          </w:tcPr>
          <w:p w14:paraId="086AB076" w14:textId="77777777" w:rsidR="00E87FC3" w:rsidRPr="00484460" w:rsidRDefault="00E87FC3" w:rsidP="00F41875">
            <w:pPr>
              <w:ind w:left="29"/>
              <w:jc w:val="center"/>
              <w:rPr>
                <w:i/>
                <w:sz w:val="20"/>
                <w:lang w:val="es-MX"/>
              </w:rPr>
            </w:pPr>
            <w:r w:rsidRPr="00484460">
              <w:rPr>
                <w:sz w:val="20"/>
                <w:lang w:val="es-MX"/>
              </w:rPr>
              <w:t>27/35</w:t>
            </w:r>
          </w:p>
        </w:tc>
        <w:tc>
          <w:tcPr>
            <w:tcW w:w="1180" w:type="dxa"/>
            <w:vAlign w:val="center"/>
          </w:tcPr>
          <w:p w14:paraId="000047C8" w14:textId="77777777" w:rsidR="00E87FC3" w:rsidRDefault="00E87FC3" w:rsidP="00F41875">
            <w:pPr>
              <w:jc w:val="center"/>
            </w:pPr>
            <w:r>
              <w:rPr>
                <w:sz w:val="20"/>
                <w:lang w:val="es-MX"/>
              </w:rPr>
              <w:t>9</w:t>
            </w:r>
            <w:r w:rsidRPr="00123D1A">
              <w:rPr>
                <w:sz w:val="20"/>
                <w:lang w:val="es-MX"/>
              </w:rPr>
              <w:t>/</w:t>
            </w:r>
            <w:r>
              <w:rPr>
                <w:sz w:val="20"/>
                <w:lang w:val="es-MX"/>
              </w:rPr>
              <w:t>2</w:t>
            </w:r>
            <w:r w:rsidRPr="00123D1A">
              <w:rPr>
                <w:sz w:val="20"/>
                <w:lang w:val="es-MX"/>
              </w:rPr>
              <w:t>5</w:t>
            </w:r>
          </w:p>
        </w:tc>
        <w:tc>
          <w:tcPr>
            <w:tcW w:w="1180" w:type="dxa"/>
            <w:vAlign w:val="center"/>
          </w:tcPr>
          <w:p w14:paraId="25CE7DE1" w14:textId="77777777" w:rsidR="00E87FC3" w:rsidRDefault="00E87FC3" w:rsidP="00F41875">
            <w:pPr>
              <w:jc w:val="center"/>
            </w:pPr>
            <w:r>
              <w:rPr>
                <w:sz w:val="20"/>
                <w:lang w:val="es-MX"/>
              </w:rPr>
              <w:t>16</w:t>
            </w:r>
            <w:r w:rsidRPr="00123D1A">
              <w:rPr>
                <w:sz w:val="20"/>
                <w:lang w:val="es-MX"/>
              </w:rPr>
              <w:t>/</w:t>
            </w:r>
            <w:r>
              <w:rPr>
                <w:sz w:val="20"/>
                <w:lang w:val="es-MX"/>
              </w:rPr>
              <w:t>2</w:t>
            </w:r>
            <w:r w:rsidRPr="00123D1A">
              <w:rPr>
                <w:sz w:val="20"/>
                <w:lang w:val="es-MX"/>
              </w:rPr>
              <w:t>5</w:t>
            </w:r>
          </w:p>
        </w:tc>
      </w:tr>
      <w:tr w:rsidR="00E87FC3" w:rsidRPr="00484460" w14:paraId="423389F0" w14:textId="77777777" w:rsidTr="00E87FC3">
        <w:trPr>
          <w:trHeight w:val="1157"/>
        </w:trPr>
        <w:tc>
          <w:tcPr>
            <w:tcW w:w="4064" w:type="dxa"/>
          </w:tcPr>
          <w:p w14:paraId="44037884" w14:textId="77777777" w:rsidR="00E87FC3" w:rsidRPr="00484460" w:rsidRDefault="00E87FC3" w:rsidP="00F41875">
            <w:pPr>
              <w:ind w:left="29"/>
              <w:rPr>
                <w:i/>
                <w:sz w:val="20"/>
                <w:lang w:val="es-MX"/>
              </w:rPr>
            </w:pPr>
            <w:r w:rsidRPr="00484460">
              <w:rPr>
                <w:i/>
                <w:sz w:val="20"/>
                <w:lang w:val="es-MX"/>
              </w:rPr>
              <w:t>Promover la generación de información de medio ambiente que permita medir las condiciones socio-económicas, ambientales y territoriales, para plantear políticas públicas para el desarrollo.</w:t>
            </w:r>
          </w:p>
        </w:tc>
        <w:tc>
          <w:tcPr>
            <w:tcW w:w="1180" w:type="dxa"/>
            <w:vAlign w:val="center"/>
          </w:tcPr>
          <w:p w14:paraId="543339CB" w14:textId="77777777" w:rsidR="00E87FC3" w:rsidRPr="00484460" w:rsidRDefault="00E87FC3" w:rsidP="00F41875">
            <w:pPr>
              <w:ind w:left="29"/>
              <w:jc w:val="center"/>
              <w:rPr>
                <w:i/>
                <w:sz w:val="20"/>
                <w:lang w:val="es-MX"/>
              </w:rPr>
            </w:pPr>
            <w:r w:rsidRPr="00484460">
              <w:rPr>
                <w:sz w:val="20"/>
                <w:lang w:val="es-MX"/>
              </w:rPr>
              <w:t>29/35</w:t>
            </w:r>
          </w:p>
        </w:tc>
        <w:tc>
          <w:tcPr>
            <w:tcW w:w="1180" w:type="dxa"/>
          </w:tcPr>
          <w:p w14:paraId="4C3CF26B" w14:textId="77777777" w:rsidR="00E87FC3" w:rsidRPr="00484460" w:rsidRDefault="00E87FC3" w:rsidP="00F41875">
            <w:pPr>
              <w:ind w:left="29"/>
              <w:jc w:val="center"/>
              <w:rPr>
                <w:sz w:val="20"/>
                <w:lang w:val="es-MX"/>
              </w:rPr>
            </w:pPr>
          </w:p>
        </w:tc>
        <w:tc>
          <w:tcPr>
            <w:tcW w:w="1180" w:type="dxa"/>
            <w:vAlign w:val="center"/>
          </w:tcPr>
          <w:p w14:paraId="592CCC42" w14:textId="77777777" w:rsidR="00E87FC3" w:rsidRPr="00484460" w:rsidRDefault="00E87FC3" w:rsidP="00F41875">
            <w:pPr>
              <w:ind w:left="29"/>
              <w:jc w:val="center"/>
              <w:rPr>
                <w:i/>
                <w:sz w:val="20"/>
                <w:lang w:val="es-MX"/>
              </w:rPr>
            </w:pPr>
            <w:r w:rsidRPr="00484460">
              <w:rPr>
                <w:sz w:val="20"/>
                <w:lang w:val="es-MX"/>
              </w:rPr>
              <w:t>25/35</w:t>
            </w:r>
          </w:p>
        </w:tc>
        <w:tc>
          <w:tcPr>
            <w:tcW w:w="1180" w:type="dxa"/>
            <w:vAlign w:val="center"/>
          </w:tcPr>
          <w:p w14:paraId="26A4F491" w14:textId="77777777" w:rsidR="00E87FC3" w:rsidRDefault="00E87FC3" w:rsidP="00F41875">
            <w:pPr>
              <w:jc w:val="center"/>
            </w:pPr>
            <w:r>
              <w:rPr>
                <w:sz w:val="20"/>
                <w:lang w:val="es-MX"/>
              </w:rPr>
              <w:t>8</w:t>
            </w:r>
            <w:r w:rsidRPr="00123D1A">
              <w:rPr>
                <w:sz w:val="20"/>
                <w:lang w:val="es-MX"/>
              </w:rPr>
              <w:t>/</w:t>
            </w:r>
            <w:r>
              <w:rPr>
                <w:sz w:val="20"/>
                <w:lang w:val="es-MX"/>
              </w:rPr>
              <w:t>2</w:t>
            </w:r>
            <w:r w:rsidRPr="00123D1A">
              <w:rPr>
                <w:sz w:val="20"/>
                <w:lang w:val="es-MX"/>
              </w:rPr>
              <w:t>5</w:t>
            </w:r>
          </w:p>
        </w:tc>
        <w:tc>
          <w:tcPr>
            <w:tcW w:w="1180" w:type="dxa"/>
            <w:vAlign w:val="center"/>
          </w:tcPr>
          <w:p w14:paraId="21472A6E" w14:textId="77777777" w:rsidR="00E87FC3" w:rsidRDefault="00E87FC3" w:rsidP="00F41875">
            <w:pPr>
              <w:jc w:val="center"/>
            </w:pPr>
            <w:r>
              <w:rPr>
                <w:sz w:val="20"/>
                <w:lang w:val="es-MX"/>
              </w:rPr>
              <w:t>16</w:t>
            </w:r>
            <w:r w:rsidRPr="00123D1A">
              <w:rPr>
                <w:sz w:val="20"/>
                <w:lang w:val="es-MX"/>
              </w:rPr>
              <w:t>/</w:t>
            </w:r>
            <w:r>
              <w:rPr>
                <w:sz w:val="20"/>
                <w:lang w:val="es-MX"/>
              </w:rPr>
              <w:t>2</w:t>
            </w:r>
            <w:r w:rsidRPr="00123D1A">
              <w:rPr>
                <w:sz w:val="20"/>
                <w:lang w:val="es-MX"/>
              </w:rPr>
              <w:t>5</w:t>
            </w:r>
          </w:p>
        </w:tc>
      </w:tr>
      <w:tr w:rsidR="00E87FC3" w:rsidRPr="00484460" w14:paraId="347C3DBA" w14:textId="77777777" w:rsidTr="00E87FC3">
        <w:trPr>
          <w:trHeight w:val="905"/>
        </w:trPr>
        <w:tc>
          <w:tcPr>
            <w:tcW w:w="4064" w:type="dxa"/>
          </w:tcPr>
          <w:p w14:paraId="4E3F9D12" w14:textId="77777777" w:rsidR="00E87FC3" w:rsidRPr="00484460" w:rsidRDefault="00E87FC3" w:rsidP="00F41875">
            <w:pPr>
              <w:ind w:left="29"/>
              <w:rPr>
                <w:i/>
                <w:sz w:val="20"/>
                <w:lang w:val="es-MX"/>
              </w:rPr>
            </w:pPr>
            <w:r w:rsidRPr="00484460">
              <w:rPr>
                <w:i/>
                <w:sz w:val="20"/>
                <w:lang w:val="es-MX"/>
              </w:rPr>
              <w:t>Proporcionar la información a los particulares que lo soliciten, de conformidad con la normatividad en materia de transparencia y acceso a la información pública.</w:t>
            </w:r>
          </w:p>
        </w:tc>
        <w:tc>
          <w:tcPr>
            <w:tcW w:w="1180" w:type="dxa"/>
            <w:vAlign w:val="center"/>
          </w:tcPr>
          <w:p w14:paraId="7979900E" w14:textId="77777777" w:rsidR="00E87FC3" w:rsidRPr="00484460" w:rsidRDefault="00E87FC3" w:rsidP="00F41875">
            <w:pPr>
              <w:ind w:left="29"/>
              <w:jc w:val="center"/>
              <w:rPr>
                <w:i/>
                <w:sz w:val="20"/>
                <w:lang w:val="es-MX"/>
              </w:rPr>
            </w:pPr>
            <w:r w:rsidRPr="00484460">
              <w:rPr>
                <w:sz w:val="20"/>
                <w:lang w:val="es-MX"/>
              </w:rPr>
              <w:t>34/35</w:t>
            </w:r>
          </w:p>
        </w:tc>
        <w:tc>
          <w:tcPr>
            <w:tcW w:w="1180" w:type="dxa"/>
          </w:tcPr>
          <w:p w14:paraId="47986518" w14:textId="77777777" w:rsidR="00E87FC3" w:rsidRPr="00484460" w:rsidRDefault="00E87FC3" w:rsidP="00F41875">
            <w:pPr>
              <w:ind w:left="29"/>
              <w:jc w:val="center"/>
              <w:rPr>
                <w:sz w:val="20"/>
                <w:lang w:val="es-MX"/>
              </w:rPr>
            </w:pPr>
          </w:p>
        </w:tc>
        <w:tc>
          <w:tcPr>
            <w:tcW w:w="1180" w:type="dxa"/>
            <w:vAlign w:val="center"/>
          </w:tcPr>
          <w:p w14:paraId="3C6B14DF" w14:textId="77777777" w:rsidR="00E87FC3" w:rsidRPr="00484460" w:rsidRDefault="00E87FC3" w:rsidP="00F41875">
            <w:pPr>
              <w:ind w:left="29"/>
              <w:jc w:val="center"/>
              <w:rPr>
                <w:i/>
                <w:sz w:val="20"/>
                <w:lang w:val="es-MX"/>
              </w:rPr>
            </w:pPr>
            <w:r w:rsidRPr="00484460">
              <w:rPr>
                <w:sz w:val="20"/>
                <w:lang w:val="es-MX"/>
              </w:rPr>
              <w:t>30/35</w:t>
            </w:r>
          </w:p>
        </w:tc>
        <w:tc>
          <w:tcPr>
            <w:tcW w:w="1180" w:type="dxa"/>
            <w:vAlign w:val="center"/>
          </w:tcPr>
          <w:p w14:paraId="730C8FF7" w14:textId="77777777" w:rsidR="00E87FC3" w:rsidRDefault="00E87FC3" w:rsidP="00F41875">
            <w:pPr>
              <w:jc w:val="center"/>
            </w:pPr>
            <w:r>
              <w:rPr>
                <w:sz w:val="20"/>
                <w:lang w:val="es-MX"/>
              </w:rPr>
              <w:t>21</w:t>
            </w:r>
            <w:r w:rsidRPr="00123D1A">
              <w:rPr>
                <w:sz w:val="20"/>
                <w:lang w:val="es-MX"/>
              </w:rPr>
              <w:t>/</w:t>
            </w:r>
            <w:r>
              <w:rPr>
                <w:sz w:val="20"/>
                <w:lang w:val="es-MX"/>
              </w:rPr>
              <w:t>2</w:t>
            </w:r>
            <w:r w:rsidRPr="00123D1A">
              <w:rPr>
                <w:sz w:val="20"/>
                <w:lang w:val="es-MX"/>
              </w:rPr>
              <w:t>5</w:t>
            </w:r>
          </w:p>
        </w:tc>
        <w:tc>
          <w:tcPr>
            <w:tcW w:w="1180" w:type="dxa"/>
            <w:vAlign w:val="center"/>
          </w:tcPr>
          <w:p w14:paraId="43FBF895" w14:textId="77777777" w:rsidR="00E87FC3" w:rsidRDefault="00E87FC3" w:rsidP="00F41875">
            <w:pPr>
              <w:jc w:val="center"/>
            </w:pPr>
            <w:r>
              <w:rPr>
                <w:sz w:val="20"/>
                <w:lang w:val="es-MX"/>
              </w:rPr>
              <w:t>9</w:t>
            </w:r>
            <w:r w:rsidRPr="00123D1A">
              <w:rPr>
                <w:sz w:val="20"/>
                <w:lang w:val="es-MX"/>
              </w:rPr>
              <w:t>/</w:t>
            </w:r>
            <w:r>
              <w:rPr>
                <w:sz w:val="20"/>
                <w:lang w:val="es-MX"/>
              </w:rPr>
              <w:t>2</w:t>
            </w:r>
            <w:r w:rsidRPr="00123D1A">
              <w:rPr>
                <w:sz w:val="20"/>
                <w:lang w:val="es-MX"/>
              </w:rPr>
              <w:t>5</w:t>
            </w:r>
          </w:p>
        </w:tc>
      </w:tr>
    </w:tbl>
    <w:p w14:paraId="7D75D294" w14:textId="7026D58A" w:rsidR="00E87FC3" w:rsidRDefault="00E87FC3" w:rsidP="00E87FC3">
      <w:pPr>
        <w:jc w:val="right"/>
        <w:rPr>
          <w:rFonts w:ascii="Arial" w:hAnsi="Arial"/>
          <w:sz w:val="22"/>
          <w:szCs w:val="22"/>
          <w:lang w:val="es-MX"/>
        </w:rPr>
      </w:pPr>
    </w:p>
    <w:tbl>
      <w:tblPr>
        <w:tblStyle w:val="Tablaconcuadrcula"/>
        <w:tblW w:w="9991" w:type="dxa"/>
        <w:tblInd w:w="-431" w:type="dxa"/>
        <w:tblLayout w:type="fixed"/>
        <w:tblLook w:val="04A0" w:firstRow="1" w:lastRow="0" w:firstColumn="1" w:lastColumn="0" w:noHBand="0" w:noVBand="1"/>
      </w:tblPr>
      <w:tblGrid>
        <w:gridCol w:w="4623"/>
        <w:gridCol w:w="1342"/>
        <w:gridCol w:w="1342"/>
        <w:gridCol w:w="1342"/>
        <w:gridCol w:w="1342"/>
      </w:tblGrid>
      <w:tr w:rsidR="00E87FC3" w14:paraId="5D4B53CB" w14:textId="77777777" w:rsidTr="00E87FC3">
        <w:trPr>
          <w:trHeight w:val="945"/>
        </w:trPr>
        <w:tc>
          <w:tcPr>
            <w:tcW w:w="4623" w:type="dxa"/>
            <w:vAlign w:val="center"/>
          </w:tcPr>
          <w:p w14:paraId="7696F7FE" w14:textId="77777777" w:rsidR="00E87FC3" w:rsidRPr="00484460" w:rsidRDefault="00E87FC3" w:rsidP="00F41875">
            <w:pPr>
              <w:jc w:val="center"/>
              <w:rPr>
                <w:b/>
                <w:sz w:val="20"/>
                <w:lang w:val="es-MX"/>
              </w:rPr>
            </w:pPr>
            <w:r w:rsidRPr="00484460">
              <w:rPr>
                <w:b/>
                <w:sz w:val="20"/>
                <w:lang w:val="es-MX"/>
              </w:rPr>
              <w:t>Objetivos</w:t>
            </w:r>
          </w:p>
          <w:p w14:paraId="18B4C15D" w14:textId="77777777" w:rsidR="00E87FC3" w:rsidRPr="00484460" w:rsidRDefault="00E87FC3" w:rsidP="00F41875">
            <w:pPr>
              <w:jc w:val="center"/>
              <w:rPr>
                <w:b/>
                <w:sz w:val="20"/>
                <w:lang w:val="es-MX"/>
              </w:rPr>
            </w:pPr>
            <w:r w:rsidRPr="00484460">
              <w:rPr>
                <w:b/>
                <w:sz w:val="20"/>
                <w:lang w:val="es-MX"/>
              </w:rPr>
              <w:t>Adjetivos</w:t>
            </w:r>
          </w:p>
        </w:tc>
        <w:tc>
          <w:tcPr>
            <w:tcW w:w="1342" w:type="dxa"/>
            <w:vAlign w:val="center"/>
          </w:tcPr>
          <w:p w14:paraId="696ACA73" w14:textId="77777777" w:rsidR="00E87FC3" w:rsidRPr="00484460" w:rsidRDefault="00E87FC3" w:rsidP="00F41875">
            <w:pPr>
              <w:jc w:val="center"/>
              <w:rPr>
                <w:b/>
                <w:sz w:val="20"/>
                <w:lang w:val="es-MX"/>
              </w:rPr>
            </w:pPr>
            <w:proofErr w:type="spellStart"/>
            <w:r w:rsidRPr="00484460">
              <w:rPr>
                <w:b/>
                <w:sz w:val="20"/>
                <w:lang w:val="es-MX"/>
              </w:rPr>
              <w:t>Autoev</w:t>
            </w:r>
            <w:proofErr w:type="spellEnd"/>
            <w:r w:rsidRPr="00484460">
              <w:rPr>
                <w:b/>
                <w:sz w:val="20"/>
                <w:lang w:val="es-MX"/>
              </w:rPr>
              <w:t>.</w:t>
            </w:r>
          </w:p>
          <w:p w14:paraId="40E58A6C" w14:textId="77777777" w:rsidR="00E87FC3" w:rsidRPr="00484460" w:rsidRDefault="00E87FC3" w:rsidP="00F41875">
            <w:pPr>
              <w:jc w:val="center"/>
              <w:rPr>
                <w:b/>
                <w:sz w:val="20"/>
                <w:lang w:val="es-MX"/>
              </w:rPr>
            </w:pPr>
            <w:r w:rsidRPr="00484460">
              <w:rPr>
                <w:b/>
                <w:sz w:val="20"/>
                <w:lang w:val="es-MX"/>
              </w:rPr>
              <w:t>Suficiencia</w:t>
            </w:r>
          </w:p>
        </w:tc>
        <w:tc>
          <w:tcPr>
            <w:tcW w:w="1342" w:type="dxa"/>
            <w:vAlign w:val="center"/>
          </w:tcPr>
          <w:p w14:paraId="40FC399C" w14:textId="77777777" w:rsidR="00E87FC3" w:rsidRPr="00484460" w:rsidRDefault="00E87FC3" w:rsidP="00F41875">
            <w:pPr>
              <w:jc w:val="center"/>
              <w:rPr>
                <w:b/>
                <w:sz w:val="20"/>
                <w:lang w:val="es-MX"/>
              </w:rPr>
            </w:pPr>
            <w:r w:rsidRPr="00484460">
              <w:rPr>
                <w:b/>
                <w:sz w:val="20"/>
                <w:lang w:val="es-MX"/>
              </w:rPr>
              <w:t>Evaluación Suficiencia</w:t>
            </w:r>
          </w:p>
        </w:tc>
        <w:tc>
          <w:tcPr>
            <w:tcW w:w="1342" w:type="dxa"/>
            <w:vAlign w:val="center"/>
          </w:tcPr>
          <w:p w14:paraId="273AF07D" w14:textId="77777777" w:rsidR="00E87FC3" w:rsidRPr="00484460" w:rsidRDefault="00E87FC3" w:rsidP="00F41875">
            <w:pPr>
              <w:jc w:val="center"/>
              <w:rPr>
                <w:b/>
                <w:sz w:val="20"/>
                <w:lang w:val="es-MX"/>
              </w:rPr>
            </w:pPr>
            <w:proofErr w:type="spellStart"/>
            <w:r w:rsidRPr="00484460">
              <w:rPr>
                <w:b/>
                <w:sz w:val="20"/>
                <w:lang w:val="es-MX"/>
              </w:rPr>
              <w:t>Autoev</w:t>
            </w:r>
            <w:proofErr w:type="spellEnd"/>
            <w:r w:rsidRPr="00484460">
              <w:rPr>
                <w:b/>
                <w:sz w:val="20"/>
                <w:lang w:val="es-MX"/>
              </w:rPr>
              <w:t>.</w:t>
            </w:r>
          </w:p>
          <w:p w14:paraId="1B28A495" w14:textId="77777777" w:rsidR="00E87FC3" w:rsidRPr="00484460" w:rsidRDefault="00E87FC3" w:rsidP="00F41875">
            <w:pPr>
              <w:jc w:val="center"/>
              <w:rPr>
                <w:b/>
                <w:sz w:val="20"/>
                <w:lang w:val="es-MX"/>
              </w:rPr>
            </w:pPr>
            <w:r w:rsidRPr="00484460">
              <w:rPr>
                <w:b/>
                <w:sz w:val="20"/>
                <w:lang w:val="es-MX"/>
              </w:rPr>
              <w:t>Calidad de indicadores</w:t>
            </w:r>
          </w:p>
        </w:tc>
        <w:tc>
          <w:tcPr>
            <w:tcW w:w="1342" w:type="dxa"/>
            <w:vAlign w:val="center"/>
          </w:tcPr>
          <w:p w14:paraId="013EB250" w14:textId="77777777" w:rsidR="00E87FC3" w:rsidRPr="00484460" w:rsidRDefault="00E87FC3" w:rsidP="00F41875">
            <w:pPr>
              <w:jc w:val="center"/>
              <w:rPr>
                <w:b/>
                <w:sz w:val="20"/>
                <w:lang w:val="es-MX"/>
              </w:rPr>
            </w:pPr>
            <w:r w:rsidRPr="00484460">
              <w:rPr>
                <w:b/>
                <w:sz w:val="20"/>
                <w:lang w:val="es-MX"/>
              </w:rPr>
              <w:t>Evaluación Calidad de indicadores</w:t>
            </w:r>
          </w:p>
        </w:tc>
      </w:tr>
      <w:tr w:rsidR="00E87FC3" w:rsidRPr="00484460" w14:paraId="344BE905" w14:textId="77777777" w:rsidTr="00E87FC3">
        <w:trPr>
          <w:trHeight w:val="1189"/>
        </w:trPr>
        <w:tc>
          <w:tcPr>
            <w:tcW w:w="4623" w:type="dxa"/>
            <w:vAlign w:val="center"/>
          </w:tcPr>
          <w:p w14:paraId="2DDA7D72" w14:textId="77777777" w:rsidR="00E87FC3" w:rsidRPr="00484460" w:rsidRDefault="00E87FC3" w:rsidP="00F41875">
            <w:pPr>
              <w:rPr>
                <w:i/>
                <w:sz w:val="20"/>
                <w:lang w:val="es-MX"/>
              </w:rPr>
            </w:pPr>
            <w:r w:rsidRPr="00484460">
              <w:rPr>
                <w:i/>
                <w:sz w:val="20"/>
                <w:lang w:val="es-MX"/>
              </w:rPr>
              <w:t>Instrumentar mecanismos técnicos para integrar, actualizar y ministrar la información estadística y geográfica de Jalisco generada por los integrantes del Sistema de Información Estratégica del Estado de Jalisco y sus Municipios.</w:t>
            </w:r>
          </w:p>
        </w:tc>
        <w:tc>
          <w:tcPr>
            <w:tcW w:w="1342" w:type="dxa"/>
            <w:vAlign w:val="center"/>
          </w:tcPr>
          <w:p w14:paraId="320B5688" w14:textId="77777777" w:rsidR="00E87FC3" w:rsidRPr="00484460" w:rsidRDefault="00E87FC3" w:rsidP="00F41875">
            <w:pPr>
              <w:ind w:left="29"/>
              <w:jc w:val="center"/>
              <w:rPr>
                <w:i/>
                <w:sz w:val="20"/>
                <w:lang w:val="es-MX"/>
              </w:rPr>
            </w:pPr>
            <w:r w:rsidRPr="00484460">
              <w:rPr>
                <w:sz w:val="20"/>
                <w:lang w:val="es-MX"/>
              </w:rPr>
              <w:t>33/35</w:t>
            </w:r>
          </w:p>
        </w:tc>
        <w:tc>
          <w:tcPr>
            <w:tcW w:w="1342" w:type="dxa"/>
            <w:vAlign w:val="center"/>
          </w:tcPr>
          <w:p w14:paraId="78036A42" w14:textId="77777777" w:rsidR="00E87FC3" w:rsidRPr="00484460" w:rsidRDefault="00E87FC3" w:rsidP="00F41875">
            <w:pPr>
              <w:ind w:left="29"/>
              <w:jc w:val="center"/>
              <w:rPr>
                <w:i/>
                <w:sz w:val="20"/>
                <w:lang w:val="es-MX"/>
              </w:rPr>
            </w:pPr>
            <w:r w:rsidRPr="00484460">
              <w:rPr>
                <w:sz w:val="20"/>
                <w:lang w:val="es-MX"/>
              </w:rPr>
              <w:t>25/35</w:t>
            </w:r>
          </w:p>
        </w:tc>
        <w:tc>
          <w:tcPr>
            <w:tcW w:w="1342" w:type="dxa"/>
            <w:vAlign w:val="center"/>
          </w:tcPr>
          <w:p w14:paraId="3610516D" w14:textId="77777777" w:rsidR="00E87FC3" w:rsidRDefault="00E87FC3" w:rsidP="00F41875">
            <w:pPr>
              <w:jc w:val="center"/>
            </w:pPr>
            <w:r>
              <w:rPr>
                <w:sz w:val="20"/>
                <w:lang w:val="es-MX"/>
              </w:rPr>
              <w:t>17</w:t>
            </w:r>
            <w:r w:rsidRPr="00123D1A">
              <w:rPr>
                <w:sz w:val="20"/>
                <w:lang w:val="es-MX"/>
              </w:rPr>
              <w:t>/</w:t>
            </w:r>
            <w:r>
              <w:rPr>
                <w:sz w:val="20"/>
                <w:lang w:val="es-MX"/>
              </w:rPr>
              <w:t>2</w:t>
            </w:r>
            <w:r w:rsidRPr="00123D1A">
              <w:rPr>
                <w:sz w:val="20"/>
                <w:lang w:val="es-MX"/>
              </w:rPr>
              <w:t>5</w:t>
            </w:r>
          </w:p>
        </w:tc>
        <w:tc>
          <w:tcPr>
            <w:tcW w:w="1342" w:type="dxa"/>
            <w:vAlign w:val="center"/>
          </w:tcPr>
          <w:p w14:paraId="2B10885C" w14:textId="77777777" w:rsidR="00E87FC3" w:rsidRDefault="00E87FC3" w:rsidP="00F41875">
            <w:pPr>
              <w:jc w:val="center"/>
            </w:pPr>
            <w:r>
              <w:rPr>
                <w:sz w:val="20"/>
                <w:lang w:val="es-MX"/>
              </w:rPr>
              <w:t>18</w:t>
            </w:r>
            <w:r w:rsidRPr="00123D1A">
              <w:rPr>
                <w:sz w:val="20"/>
                <w:lang w:val="es-MX"/>
              </w:rPr>
              <w:t>/</w:t>
            </w:r>
            <w:r>
              <w:rPr>
                <w:sz w:val="20"/>
                <w:lang w:val="es-MX"/>
              </w:rPr>
              <w:t>2</w:t>
            </w:r>
            <w:r w:rsidRPr="00123D1A">
              <w:rPr>
                <w:sz w:val="20"/>
                <w:lang w:val="es-MX"/>
              </w:rPr>
              <w:t>5</w:t>
            </w:r>
          </w:p>
        </w:tc>
      </w:tr>
      <w:tr w:rsidR="00E87FC3" w:rsidRPr="00484460" w14:paraId="162A8B34" w14:textId="77777777" w:rsidTr="00E87FC3">
        <w:trPr>
          <w:trHeight w:val="716"/>
        </w:trPr>
        <w:tc>
          <w:tcPr>
            <w:tcW w:w="4623" w:type="dxa"/>
            <w:vAlign w:val="center"/>
          </w:tcPr>
          <w:p w14:paraId="5F37361D" w14:textId="77777777" w:rsidR="00E87FC3" w:rsidRPr="00484460" w:rsidRDefault="00E87FC3" w:rsidP="00F41875">
            <w:pPr>
              <w:rPr>
                <w:i/>
                <w:sz w:val="20"/>
                <w:lang w:val="es-MX"/>
              </w:rPr>
            </w:pPr>
            <w:r w:rsidRPr="00484460">
              <w:rPr>
                <w:i/>
                <w:sz w:val="20"/>
                <w:lang w:val="es-MX"/>
              </w:rPr>
              <w:t>Mejorar el capital humano y capacidades institucionales del Instituto de Información Estadística y Geográfica del Estado de Jalisco.</w:t>
            </w:r>
          </w:p>
        </w:tc>
        <w:tc>
          <w:tcPr>
            <w:tcW w:w="1342" w:type="dxa"/>
            <w:vAlign w:val="center"/>
          </w:tcPr>
          <w:p w14:paraId="6423D372" w14:textId="77777777" w:rsidR="00E87FC3" w:rsidRPr="00484460" w:rsidRDefault="00E87FC3" w:rsidP="00F41875">
            <w:pPr>
              <w:ind w:left="29"/>
              <w:jc w:val="center"/>
              <w:rPr>
                <w:i/>
                <w:sz w:val="20"/>
                <w:lang w:val="es-MX"/>
              </w:rPr>
            </w:pPr>
            <w:r w:rsidRPr="00484460">
              <w:rPr>
                <w:sz w:val="20"/>
                <w:lang w:val="es-MX"/>
              </w:rPr>
              <w:t>31/35</w:t>
            </w:r>
          </w:p>
        </w:tc>
        <w:tc>
          <w:tcPr>
            <w:tcW w:w="1342" w:type="dxa"/>
            <w:vAlign w:val="center"/>
          </w:tcPr>
          <w:p w14:paraId="4D739F3E" w14:textId="77777777" w:rsidR="00E87FC3" w:rsidRPr="00484460" w:rsidRDefault="00E87FC3" w:rsidP="00F41875">
            <w:pPr>
              <w:ind w:left="29"/>
              <w:jc w:val="center"/>
              <w:rPr>
                <w:i/>
                <w:sz w:val="20"/>
                <w:lang w:val="es-MX"/>
              </w:rPr>
            </w:pPr>
            <w:r w:rsidRPr="00484460">
              <w:rPr>
                <w:sz w:val="20"/>
                <w:lang w:val="es-MX"/>
              </w:rPr>
              <w:t>30/35</w:t>
            </w:r>
          </w:p>
        </w:tc>
        <w:tc>
          <w:tcPr>
            <w:tcW w:w="1342" w:type="dxa"/>
            <w:vAlign w:val="center"/>
          </w:tcPr>
          <w:p w14:paraId="67B0FDC4" w14:textId="77777777" w:rsidR="00E87FC3" w:rsidRDefault="00E87FC3" w:rsidP="00F41875">
            <w:pPr>
              <w:jc w:val="center"/>
            </w:pPr>
            <w:r>
              <w:rPr>
                <w:sz w:val="20"/>
                <w:lang w:val="es-MX"/>
              </w:rPr>
              <w:t>21</w:t>
            </w:r>
            <w:r w:rsidRPr="00123D1A">
              <w:rPr>
                <w:sz w:val="20"/>
                <w:lang w:val="es-MX"/>
              </w:rPr>
              <w:t>/</w:t>
            </w:r>
            <w:r>
              <w:rPr>
                <w:sz w:val="20"/>
                <w:lang w:val="es-MX"/>
              </w:rPr>
              <w:t>2</w:t>
            </w:r>
            <w:r w:rsidRPr="00123D1A">
              <w:rPr>
                <w:sz w:val="20"/>
                <w:lang w:val="es-MX"/>
              </w:rPr>
              <w:t>5</w:t>
            </w:r>
          </w:p>
        </w:tc>
        <w:tc>
          <w:tcPr>
            <w:tcW w:w="1342" w:type="dxa"/>
            <w:vAlign w:val="center"/>
          </w:tcPr>
          <w:p w14:paraId="0C0425CB" w14:textId="77777777" w:rsidR="00E87FC3" w:rsidRDefault="00E87FC3" w:rsidP="00F41875">
            <w:pPr>
              <w:jc w:val="center"/>
            </w:pPr>
            <w:r>
              <w:rPr>
                <w:sz w:val="20"/>
                <w:lang w:val="es-MX"/>
              </w:rPr>
              <w:t>13</w:t>
            </w:r>
            <w:r w:rsidRPr="00123D1A">
              <w:rPr>
                <w:sz w:val="20"/>
                <w:lang w:val="es-MX"/>
              </w:rPr>
              <w:t>/</w:t>
            </w:r>
            <w:r>
              <w:rPr>
                <w:sz w:val="20"/>
                <w:lang w:val="es-MX"/>
              </w:rPr>
              <w:t>2</w:t>
            </w:r>
            <w:r w:rsidRPr="00123D1A">
              <w:rPr>
                <w:sz w:val="20"/>
                <w:lang w:val="es-MX"/>
              </w:rPr>
              <w:t>5</w:t>
            </w:r>
          </w:p>
        </w:tc>
      </w:tr>
      <w:tr w:rsidR="00E87FC3" w:rsidRPr="00484460" w14:paraId="14F0C3DF" w14:textId="77777777" w:rsidTr="00E87FC3">
        <w:trPr>
          <w:trHeight w:val="945"/>
        </w:trPr>
        <w:tc>
          <w:tcPr>
            <w:tcW w:w="4623" w:type="dxa"/>
            <w:vAlign w:val="center"/>
          </w:tcPr>
          <w:p w14:paraId="792B150A" w14:textId="77777777" w:rsidR="00E87FC3" w:rsidRPr="00484460" w:rsidRDefault="00E87FC3" w:rsidP="00F41875">
            <w:pPr>
              <w:rPr>
                <w:i/>
                <w:sz w:val="20"/>
                <w:lang w:val="es-MX"/>
              </w:rPr>
            </w:pPr>
            <w:r w:rsidRPr="00484460">
              <w:rPr>
                <w:i/>
                <w:sz w:val="20"/>
                <w:lang w:val="es-MX"/>
              </w:rPr>
              <w:t>Divulgar la información estadística de calidad en materia  socio-demográfica, económico-financiera y geográfico-ambiental del estado de Jalisco.</w:t>
            </w:r>
          </w:p>
        </w:tc>
        <w:tc>
          <w:tcPr>
            <w:tcW w:w="1342" w:type="dxa"/>
            <w:vAlign w:val="center"/>
          </w:tcPr>
          <w:p w14:paraId="04D327F5" w14:textId="77777777" w:rsidR="00E87FC3" w:rsidRPr="00484460" w:rsidRDefault="00E87FC3" w:rsidP="00F41875">
            <w:pPr>
              <w:ind w:left="29"/>
              <w:jc w:val="center"/>
              <w:rPr>
                <w:i/>
                <w:sz w:val="20"/>
                <w:lang w:val="es-MX"/>
              </w:rPr>
            </w:pPr>
            <w:r w:rsidRPr="00484460">
              <w:rPr>
                <w:sz w:val="20"/>
                <w:lang w:val="es-MX"/>
              </w:rPr>
              <w:t>30/35</w:t>
            </w:r>
          </w:p>
        </w:tc>
        <w:tc>
          <w:tcPr>
            <w:tcW w:w="1342" w:type="dxa"/>
            <w:vAlign w:val="center"/>
          </w:tcPr>
          <w:p w14:paraId="33B09747" w14:textId="77777777" w:rsidR="00E87FC3" w:rsidRPr="00484460" w:rsidRDefault="00E87FC3" w:rsidP="00F41875">
            <w:pPr>
              <w:ind w:left="29"/>
              <w:jc w:val="center"/>
              <w:rPr>
                <w:i/>
                <w:sz w:val="20"/>
                <w:lang w:val="es-MX"/>
              </w:rPr>
            </w:pPr>
            <w:r w:rsidRPr="00484460">
              <w:rPr>
                <w:sz w:val="20"/>
                <w:lang w:val="es-MX"/>
              </w:rPr>
              <w:t>29/35</w:t>
            </w:r>
          </w:p>
        </w:tc>
        <w:tc>
          <w:tcPr>
            <w:tcW w:w="1342" w:type="dxa"/>
            <w:vAlign w:val="center"/>
          </w:tcPr>
          <w:p w14:paraId="18A85E41" w14:textId="77777777" w:rsidR="00E87FC3" w:rsidRDefault="00E87FC3" w:rsidP="00F41875">
            <w:pPr>
              <w:jc w:val="center"/>
            </w:pPr>
            <w:r>
              <w:rPr>
                <w:sz w:val="20"/>
                <w:lang w:val="es-MX"/>
              </w:rPr>
              <w:t>23</w:t>
            </w:r>
            <w:r w:rsidRPr="00123D1A">
              <w:rPr>
                <w:sz w:val="20"/>
                <w:lang w:val="es-MX"/>
              </w:rPr>
              <w:t>/</w:t>
            </w:r>
            <w:r>
              <w:rPr>
                <w:sz w:val="20"/>
                <w:lang w:val="es-MX"/>
              </w:rPr>
              <w:t>2</w:t>
            </w:r>
            <w:r w:rsidRPr="00123D1A">
              <w:rPr>
                <w:sz w:val="20"/>
                <w:lang w:val="es-MX"/>
              </w:rPr>
              <w:t>5</w:t>
            </w:r>
          </w:p>
        </w:tc>
        <w:tc>
          <w:tcPr>
            <w:tcW w:w="1342" w:type="dxa"/>
            <w:vAlign w:val="center"/>
          </w:tcPr>
          <w:p w14:paraId="0E34A6D4" w14:textId="77777777" w:rsidR="00E87FC3" w:rsidRDefault="00E87FC3" w:rsidP="00F41875">
            <w:pPr>
              <w:jc w:val="center"/>
            </w:pPr>
            <w:r>
              <w:rPr>
                <w:sz w:val="20"/>
                <w:lang w:val="es-MX"/>
              </w:rPr>
              <w:t>25</w:t>
            </w:r>
            <w:r w:rsidRPr="00123D1A">
              <w:rPr>
                <w:sz w:val="20"/>
                <w:lang w:val="es-MX"/>
              </w:rPr>
              <w:t>/</w:t>
            </w:r>
            <w:r>
              <w:rPr>
                <w:sz w:val="20"/>
                <w:lang w:val="es-MX"/>
              </w:rPr>
              <w:t>2</w:t>
            </w:r>
            <w:r w:rsidRPr="00123D1A">
              <w:rPr>
                <w:sz w:val="20"/>
                <w:lang w:val="es-MX"/>
              </w:rPr>
              <w:t>5</w:t>
            </w:r>
          </w:p>
        </w:tc>
      </w:tr>
      <w:tr w:rsidR="00E87FC3" w:rsidRPr="00484460" w14:paraId="12D5258E" w14:textId="77777777" w:rsidTr="00E87FC3">
        <w:trPr>
          <w:trHeight w:val="701"/>
        </w:trPr>
        <w:tc>
          <w:tcPr>
            <w:tcW w:w="4623" w:type="dxa"/>
            <w:vAlign w:val="center"/>
          </w:tcPr>
          <w:p w14:paraId="739705F8" w14:textId="77777777" w:rsidR="00E87FC3" w:rsidRPr="00484460" w:rsidRDefault="00E87FC3" w:rsidP="00F41875">
            <w:pPr>
              <w:rPr>
                <w:i/>
                <w:sz w:val="20"/>
                <w:lang w:val="es-MX"/>
              </w:rPr>
            </w:pPr>
            <w:r w:rsidRPr="00484460">
              <w:rPr>
                <w:i/>
                <w:sz w:val="20"/>
                <w:lang w:val="es-MX"/>
              </w:rPr>
              <w:t>Articular proyectos en las regiones de Jalisco para la generación, uso y difusión de información estadística y geográfica.</w:t>
            </w:r>
          </w:p>
        </w:tc>
        <w:tc>
          <w:tcPr>
            <w:tcW w:w="1342" w:type="dxa"/>
            <w:vAlign w:val="center"/>
          </w:tcPr>
          <w:p w14:paraId="03CCF1A2" w14:textId="77777777" w:rsidR="00E87FC3" w:rsidRPr="00484460" w:rsidRDefault="00E87FC3" w:rsidP="00F41875">
            <w:pPr>
              <w:ind w:left="29"/>
              <w:jc w:val="center"/>
              <w:rPr>
                <w:i/>
                <w:sz w:val="20"/>
                <w:lang w:val="es-MX"/>
              </w:rPr>
            </w:pPr>
            <w:r w:rsidRPr="00484460">
              <w:rPr>
                <w:sz w:val="20"/>
                <w:lang w:val="es-MX"/>
              </w:rPr>
              <w:t>30/35</w:t>
            </w:r>
          </w:p>
        </w:tc>
        <w:tc>
          <w:tcPr>
            <w:tcW w:w="1342" w:type="dxa"/>
            <w:vAlign w:val="center"/>
          </w:tcPr>
          <w:p w14:paraId="685E951D" w14:textId="77777777" w:rsidR="00E87FC3" w:rsidRPr="00484460" w:rsidRDefault="00E87FC3" w:rsidP="00F41875">
            <w:pPr>
              <w:ind w:left="29"/>
              <w:jc w:val="center"/>
              <w:rPr>
                <w:i/>
                <w:sz w:val="20"/>
                <w:lang w:val="es-MX"/>
              </w:rPr>
            </w:pPr>
            <w:r w:rsidRPr="00484460">
              <w:rPr>
                <w:sz w:val="20"/>
                <w:lang w:val="es-MX"/>
              </w:rPr>
              <w:t>23/35</w:t>
            </w:r>
          </w:p>
        </w:tc>
        <w:tc>
          <w:tcPr>
            <w:tcW w:w="1342" w:type="dxa"/>
            <w:vAlign w:val="center"/>
          </w:tcPr>
          <w:p w14:paraId="0F8B5B65" w14:textId="77777777" w:rsidR="00E87FC3" w:rsidRDefault="00E87FC3" w:rsidP="00F41875">
            <w:pPr>
              <w:jc w:val="center"/>
            </w:pPr>
            <w:r>
              <w:rPr>
                <w:sz w:val="20"/>
                <w:lang w:val="es-MX"/>
              </w:rPr>
              <w:t>18</w:t>
            </w:r>
            <w:r w:rsidRPr="00123D1A">
              <w:rPr>
                <w:sz w:val="20"/>
                <w:lang w:val="es-MX"/>
              </w:rPr>
              <w:t>/</w:t>
            </w:r>
            <w:r>
              <w:rPr>
                <w:sz w:val="20"/>
                <w:lang w:val="es-MX"/>
              </w:rPr>
              <w:t>2</w:t>
            </w:r>
            <w:r w:rsidRPr="00123D1A">
              <w:rPr>
                <w:sz w:val="20"/>
                <w:lang w:val="es-MX"/>
              </w:rPr>
              <w:t>5</w:t>
            </w:r>
          </w:p>
        </w:tc>
        <w:tc>
          <w:tcPr>
            <w:tcW w:w="1342" w:type="dxa"/>
            <w:vAlign w:val="center"/>
          </w:tcPr>
          <w:p w14:paraId="703DEDB5" w14:textId="77777777" w:rsidR="00E87FC3" w:rsidRDefault="00E87FC3" w:rsidP="00F41875">
            <w:pPr>
              <w:jc w:val="center"/>
            </w:pPr>
            <w:r>
              <w:rPr>
                <w:sz w:val="20"/>
                <w:lang w:val="es-MX"/>
              </w:rPr>
              <w:t>14</w:t>
            </w:r>
            <w:r w:rsidRPr="00123D1A">
              <w:rPr>
                <w:sz w:val="20"/>
                <w:lang w:val="es-MX"/>
              </w:rPr>
              <w:t>/</w:t>
            </w:r>
            <w:r>
              <w:rPr>
                <w:sz w:val="20"/>
                <w:lang w:val="es-MX"/>
              </w:rPr>
              <w:t>2</w:t>
            </w:r>
            <w:r w:rsidRPr="00123D1A">
              <w:rPr>
                <w:sz w:val="20"/>
                <w:lang w:val="es-MX"/>
              </w:rPr>
              <w:t>5</w:t>
            </w:r>
          </w:p>
        </w:tc>
      </w:tr>
    </w:tbl>
    <w:p w14:paraId="1CDAFFC1" w14:textId="48634EF7" w:rsidR="00E87FC3" w:rsidRDefault="00E87FC3" w:rsidP="00E87FC3">
      <w:pPr>
        <w:jc w:val="right"/>
        <w:rPr>
          <w:rFonts w:ascii="Arial" w:hAnsi="Arial"/>
          <w:sz w:val="22"/>
          <w:szCs w:val="22"/>
          <w:lang w:val="es-MX"/>
        </w:rPr>
      </w:pPr>
    </w:p>
    <w:p w14:paraId="3B76DB65" w14:textId="77777777" w:rsidR="00E87FC3" w:rsidRPr="00657E0A" w:rsidRDefault="00E87FC3" w:rsidP="00E87FC3">
      <w:pPr>
        <w:rPr>
          <w:b/>
          <w:lang w:val="es-MX"/>
        </w:rPr>
      </w:pPr>
      <w:r w:rsidRPr="00657E0A">
        <w:rPr>
          <w:b/>
          <w:lang w:val="es-MX"/>
        </w:rPr>
        <w:t>Seguimiento y Evaluación</w:t>
      </w:r>
      <w:r>
        <w:rPr>
          <w:b/>
          <w:lang w:val="es-MX"/>
        </w:rPr>
        <w:t xml:space="preserve"> de indicadores y cumplimiento de metas</w:t>
      </w:r>
    </w:p>
    <w:p w14:paraId="59CB73ED" w14:textId="17996292" w:rsidR="00E87FC3" w:rsidRDefault="00E87FC3" w:rsidP="00E87FC3">
      <w:pPr>
        <w:jc w:val="both"/>
        <w:rPr>
          <w:lang w:val="es-MX"/>
        </w:rPr>
      </w:pPr>
      <w:r w:rsidRPr="00657E0A">
        <w:rPr>
          <w:lang w:val="es-MX"/>
        </w:rPr>
        <w:t xml:space="preserve">Al efectuar </w:t>
      </w:r>
      <w:r>
        <w:rPr>
          <w:lang w:val="es-MX"/>
        </w:rPr>
        <w:t>l</w:t>
      </w:r>
      <w:r w:rsidRPr="00657E0A">
        <w:rPr>
          <w:lang w:val="es-MX"/>
        </w:rPr>
        <w:t xml:space="preserve">a autoevaluación del Plan Institucional, </w:t>
      </w:r>
      <w:r>
        <w:rPr>
          <w:lang w:val="es-MX"/>
        </w:rPr>
        <w:t>el IIEG</w:t>
      </w:r>
      <w:r w:rsidRPr="00657E0A">
        <w:rPr>
          <w:lang w:val="es-MX"/>
        </w:rPr>
        <w:t xml:space="preserve"> identificó una deficiente articulación de los objetivos e indicadores estratégicos con los descritos, ya que estos últimos quedaron sólo a nivel de desempeño —que se mide en la MIR y no el PI—. </w:t>
      </w:r>
      <w:r>
        <w:rPr>
          <w:lang w:val="es-MX"/>
        </w:rPr>
        <w:t xml:space="preserve">Dado que los indicadores actuales en el plan no permiten dar seguimiento a los objetivos planteados, se realizó un análisis sobre la pertinencia de replantear los indicadores (se muestran al final del documento), tomando en consideración las sugerencias de </w:t>
      </w:r>
      <w:proofErr w:type="spellStart"/>
      <w:r>
        <w:rPr>
          <w:lang w:val="es-MX"/>
        </w:rPr>
        <w:t>Subseplan</w:t>
      </w:r>
      <w:proofErr w:type="spellEnd"/>
      <w:r>
        <w:rPr>
          <w:lang w:val="es-MX"/>
        </w:rPr>
        <w:t>, y las metas serán prospectadas a 2024.</w:t>
      </w:r>
    </w:p>
    <w:p w14:paraId="7267466A" w14:textId="08386333" w:rsidR="00E87FC3" w:rsidRDefault="00E87FC3" w:rsidP="00E87FC3">
      <w:pPr>
        <w:jc w:val="both"/>
        <w:rPr>
          <w:lang w:val="es-MX"/>
        </w:rPr>
      </w:pPr>
    </w:p>
    <w:tbl>
      <w:tblPr>
        <w:tblW w:w="5753" w:type="pct"/>
        <w:tblInd w:w="-572"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CellMar>
          <w:left w:w="70" w:type="dxa"/>
          <w:right w:w="70" w:type="dxa"/>
        </w:tblCellMar>
        <w:tblLook w:val="04A0" w:firstRow="1" w:lastRow="0" w:firstColumn="1" w:lastColumn="0" w:noHBand="0" w:noVBand="1"/>
      </w:tblPr>
      <w:tblGrid>
        <w:gridCol w:w="1334"/>
        <w:gridCol w:w="1232"/>
        <w:gridCol w:w="1951"/>
        <w:gridCol w:w="1437"/>
        <w:gridCol w:w="922"/>
        <w:gridCol w:w="922"/>
        <w:gridCol w:w="1127"/>
        <w:gridCol w:w="616"/>
        <w:gridCol w:w="616"/>
      </w:tblGrid>
      <w:tr w:rsidR="00E87FC3" w:rsidRPr="00E31057" w14:paraId="2676E84E" w14:textId="77777777" w:rsidTr="00E87FC3">
        <w:trPr>
          <w:cantSplit/>
          <w:trHeight w:val="378"/>
          <w:tblHeader/>
        </w:trPr>
        <w:tc>
          <w:tcPr>
            <w:tcW w:w="656" w:type="pct"/>
            <w:vMerge w:val="restart"/>
            <w:shd w:val="clear" w:color="auto" w:fill="D9D9D9" w:themeFill="background1" w:themeFillShade="D9"/>
            <w:vAlign w:val="center"/>
          </w:tcPr>
          <w:p w14:paraId="7AC034CE"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Objetivo Institucional</w:t>
            </w:r>
          </w:p>
        </w:tc>
        <w:tc>
          <w:tcPr>
            <w:tcW w:w="606" w:type="pct"/>
            <w:vMerge w:val="restart"/>
            <w:shd w:val="clear" w:color="auto" w:fill="D9D9D9" w:themeFill="background1" w:themeFillShade="D9"/>
            <w:vAlign w:val="center"/>
          </w:tcPr>
          <w:p w14:paraId="3AB6C224"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Nombre del Indicador actualizado</w:t>
            </w:r>
          </w:p>
        </w:tc>
        <w:tc>
          <w:tcPr>
            <w:tcW w:w="960" w:type="pct"/>
            <w:vMerge w:val="restart"/>
            <w:shd w:val="clear" w:color="auto" w:fill="D9D9D9" w:themeFill="background1" w:themeFillShade="D9"/>
            <w:vAlign w:val="center"/>
          </w:tcPr>
          <w:p w14:paraId="1042A9EF"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Descripción del indicador</w:t>
            </w:r>
          </w:p>
        </w:tc>
        <w:tc>
          <w:tcPr>
            <w:tcW w:w="707" w:type="pct"/>
            <w:vMerge w:val="restart"/>
            <w:shd w:val="clear" w:color="auto" w:fill="D9D9D9" w:themeFill="background1" w:themeFillShade="D9"/>
            <w:vAlign w:val="center"/>
          </w:tcPr>
          <w:p w14:paraId="687DFAE8"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Fórmula de cálculo</w:t>
            </w:r>
          </w:p>
        </w:tc>
        <w:tc>
          <w:tcPr>
            <w:tcW w:w="454" w:type="pct"/>
            <w:vMerge w:val="restart"/>
            <w:shd w:val="clear" w:color="auto" w:fill="D9D9D9" w:themeFill="background1" w:themeFillShade="D9"/>
            <w:vAlign w:val="center"/>
          </w:tcPr>
          <w:p w14:paraId="440F8241"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Unidad de medida</w:t>
            </w:r>
          </w:p>
        </w:tc>
        <w:tc>
          <w:tcPr>
            <w:tcW w:w="454" w:type="pct"/>
            <w:vMerge w:val="restart"/>
            <w:shd w:val="clear" w:color="auto" w:fill="D9D9D9" w:themeFill="background1" w:themeFillShade="D9"/>
            <w:vAlign w:val="center"/>
          </w:tcPr>
          <w:p w14:paraId="2204C7A4"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Fuente de información</w:t>
            </w:r>
          </w:p>
        </w:tc>
        <w:tc>
          <w:tcPr>
            <w:tcW w:w="555" w:type="pct"/>
            <w:vMerge w:val="restart"/>
            <w:shd w:val="clear" w:color="auto" w:fill="D9D9D9" w:themeFill="background1" w:themeFillShade="D9"/>
            <w:vAlign w:val="center"/>
          </w:tcPr>
          <w:p w14:paraId="2C6B91C1"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Frecuencia de actualización</w:t>
            </w:r>
          </w:p>
        </w:tc>
        <w:tc>
          <w:tcPr>
            <w:tcW w:w="606" w:type="pct"/>
            <w:gridSpan w:val="2"/>
            <w:shd w:val="clear" w:color="auto" w:fill="D9D9D9" w:themeFill="background1" w:themeFillShade="D9"/>
            <w:vAlign w:val="center"/>
          </w:tcPr>
          <w:p w14:paraId="35C37547"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Meta</w:t>
            </w:r>
          </w:p>
        </w:tc>
      </w:tr>
      <w:tr w:rsidR="00E87FC3" w:rsidRPr="00E31057" w14:paraId="738FE573" w14:textId="77777777" w:rsidTr="00E87FC3">
        <w:trPr>
          <w:cantSplit/>
          <w:trHeight w:val="512"/>
          <w:tblHeader/>
        </w:trPr>
        <w:tc>
          <w:tcPr>
            <w:tcW w:w="656" w:type="pct"/>
            <w:vMerge/>
            <w:shd w:val="clear" w:color="auto" w:fill="D9D9D9" w:themeFill="background1" w:themeFillShade="D9"/>
            <w:vAlign w:val="center"/>
            <w:hideMark/>
          </w:tcPr>
          <w:p w14:paraId="3ABAC510" w14:textId="77777777" w:rsidR="00E87FC3" w:rsidRPr="00E31057" w:rsidRDefault="00E87FC3" w:rsidP="00F41875">
            <w:pPr>
              <w:jc w:val="center"/>
              <w:rPr>
                <w:rFonts w:ascii="Tw Cen MT" w:eastAsia="Times New Roman" w:hAnsi="Tw Cen MT" w:cs="Times New Roman"/>
                <w:b/>
                <w:bCs/>
                <w:sz w:val="18"/>
                <w:szCs w:val="18"/>
              </w:rPr>
            </w:pPr>
          </w:p>
        </w:tc>
        <w:tc>
          <w:tcPr>
            <w:tcW w:w="606" w:type="pct"/>
            <w:vMerge/>
            <w:shd w:val="clear" w:color="auto" w:fill="D9D9D9" w:themeFill="background1" w:themeFillShade="D9"/>
            <w:vAlign w:val="center"/>
            <w:hideMark/>
          </w:tcPr>
          <w:p w14:paraId="2A26D0A7" w14:textId="77777777" w:rsidR="00E87FC3" w:rsidRPr="00E31057" w:rsidRDefault="00E87FC3" w:rsidP="00F41875">
            <w:pPr>
              <w:jc w:val="center"/>
              <w:rPr>
                <w:rFonts w:ascii="Tw Cen MT" w:eastAsia="Times New Roman" w:hAnsi="Tw Cen MT" w:cs="Times New Roman"/>
                <w:b/>
                <w:bCs/>
                <w:sz w:val="18"/>
                <w:szCs w:val="18"/>
              </w:rPr>
            </w:pPr>
          </w:p>
        </w:tc>
        <w:tc>
          <w:tcPr>
            <w:tcW w:w="960" w:type="pct"/>
            <w:vMerge/>
            <w:shd w:val="clear" w:color="auto" w:fill="D9D9D9" w:themeFill="background1" w:themeFillShade="D9"/>
            <w:vAlign w:val="center"/>
          </w:tcPr>
          <w:p w14:paraId="2E1F6857" w14:textId="77777777" w:rsidR="00E87FC3" w:rsidRPr="00E31057" w:rsidRDefault="00E87FC3" w:rsidP="00F41875">
            <w:pPr>
              <w:jc w:val="center"/>
              <w:rPr>
                <w:rFonts w:ascii="Tw Cen MT" w:eastAsia="Times New Roman" w:hAnsi="Tw Cen MT" w:cs="Times New Roman"/>
                <w:b/>
                <w:bCs/>
                <w:sz w:val="18"/>
                <w:szCs w:val="18"/>
              </w:rPr>
            </w:pPr>
          </w:p>
        </w:tc>
        <w:tc>
          <w:tcPr>
            <w:tcW w:w="707" w:type="pct"/>
            <w:vMerge/>
            <w:shd w:val="clear" w:color="auto" w:fill="D9D9D9" w:themeFill="background1" w:themeFillShade="D9"/>
            <w:vAlign w:val="center"/>
          </w:tcPr>
          <w:p w14:paraId="05F2AB00" w14:textId="77777777" w:rsidR="00E87FC3" w:rsidRPr="00E31057" w:rsidRDefault="00E87FC3" w:rsidP="00F41875">
            <w:pPr>
              <w:jc w:val="center"/>
              <w:rPr>
                <w:rFonts w:ascii="Tw Cen MT" w:eastAsia="Times New Roman" w:hAnsi="Tw Cen MT" w:cs="Times New Roman"/>
                <w:b/>
                <w:bCs/>
                <w:sz w:val="18"/>
                <w:szCs w:val="18"/>
              </w:rPr>
            </w:pPr>
          </w:p>
        </w:tc>
        <w:tc>
          <w:tcPr>
            <w:tcW w:w="454" w:type="pct"/>
            <w:vMerge/>
            <w:shd w:val="clear" w:color="auto" w:fill="D9D9D9" w:themeFill="background1" w:themeFillShade="D9"/>
            <w:vAlign w:val="center"/>
          </w:tcPr>
          <w:p w14:paraId="4996C6DD" w14:textId="77777777" w:rsidR="00E87FC3" w:rsidRPr="00E31057" w:rsidRDefault="00E87FC3" w:rsidP="00F41875">
            <w:pPr>
              <w:jc w:val="center"/>
              <w:rPr>
                <w:rFonts w:ascii="Tw Cen MT" w:eastAsia="Times New Roman" w:hAnsi="Tw Cen MT" w:cs="Times New Roman"/>
                <w:b/>
                <w:bCs/>
                <w:sz w:val="18"/>
                <w:szCs w:val="18"/>
              </w:rPr>
            </w:pPr>
          </w:p>
        </w:tc>
        <w:tc>
          <w:tcPr>
            <w:tcW w:w="454" w:type="pct"/>
            <w:vMerge/>
            <w:shd w:val="clear" w:color="auto" w:fill="D9D9D9" w:themeFill="background1" w:themeFillShade="D9"/>
            <w:vAlign w:val="center"/>
          </w:tcPr>
          <w:p w14:paraId="3857D80A" w14:textId="77777777" w:rsidR="00E87FC3" w:rsidRPr="00E31057" w:rsidRDefault="00E87FC3" w:rsidP="00F41875">
            <w:pPr>
              <w:jc w:val="center"/>
              <w:rPr>
                <w:rFonts w:ascii="Tw Cen MT" w:eastAsia="Times New Roman" w:hAnsi="Tw Cen MT" w:cs="Times New Roman"/>
                <w:b/>
                <w:bCs/>
                <w:sz w:val="18"/>
                <w:szCs w:val="18"/>
              </w:rPr>
            </w:pPr>
          </w:p>
        </w:tc>
        <w:tc>
          <w:tcPr>
            <w:tcW w:w="555" w:type="pct"/>
            <w:vMerge/>
            <w:shd w:val="clear" w:color="auto" w:fill="D9D9D9" w:themeFill="background1" w:themeFillShade="D9"/>
            <w:vAlign w:val="center"/>
          </w:tcPr>
          <w:p w14:paraId="1D07C39D" w14:textId="77777777" w:rsidR="00E87FC3" w:rsidRPr="00E31057" w:rsidRDefault="00E87FC3" w:rsidP="00F41875">
            <w:pPr>
              <w:jc w:val="center"/>
              <w:rPr>
                <w:rFonts w:ascii="Tw Cen MT" w:eastAsia="Times New Roman" w:hAnsi="Tw Cen MT" w:cs="Times New Roman"/>
                <w:b/>
                <w:bCs/>
                <w:sz w:val="18"/>
                <w:szCs w:val="18"/>
              </w:rPr>
            </w:pPr>
          </w:p>
        </w:tc>
        <w:tc>
          <w:tcPr>
            <w:tcW w:w="303" w:type="pct"/>
            <w:shd w:val="clear" w:color="auto" w:fill="D9D9D9" w:themeFill="background1" w:themeFillShade="D9"/>
            <w:vAlign w:val="center"/>
            <w:hideMark/>
          </w:tcPr>
          <w:p w14:paraId="4DE8188E"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2017</w:t>
            </w:r>
          </w:p>
        </w:tc>
        <w:tc>
          <w:tcPr>
            <w:tcW w:w="303" w:type="pct"/>
            <w:shd w:val="clear" w:color="auto" w:fill="D9D9D9" w:themeFill="background1" w:themeFillShade="D9"/>
            <w:vAlign w:val="center"/>
          </w:tcPr>
          <w:p w14:paraId="5C02D41B"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2018</w:t>
            </w:r>
          </w:p>
        </w:tc>
      </w:tr>
      <w:tr w:rsidR="00E87FC3" w:rsidRPr="0059244C" w14:paraId="2A90B219" w14:textId="77777777" w:rsidTr="00E87FC3">
        <w:trPr>
          <w:trHeight w:val="2696"/>
        </w:trPr>
        <w:tc>
          <w:tcPr>
            <w:tcW w:w="656" w:type="pct"/>
            <w:shd w:val="clear" w:color="auto" w:fill="auto"/>
            <w:vAlign w:val="center"/>
          </w:tcPr>
          <w:p w14:paraId="72625E37" w14:textId="77777777" w:rsidR="00E87FC3" w:rsidRPr="0059244C" w:rsidRDefault="00E87FC3" w:rsidP="00F41875">
            <w:r w:rsidRPr="0059244C">
              <w:rPr>
                <w:rFonts w:ascii="Tw Cen MT" w:hAnsi="Tw Cen MT"/>
                <w:sz w:val="20"/>
                <w:szCs w:val="20"/>
              </w:rPr>
              <w:t>Contribuir al desarrollo de proyectos potenciales de inversión en el estado, mediante la generación de información de calidad estadística económica-financiera, socio-demográfica y geográfica-ambiental.</w:t>
            </w:r>
          </w:p>
        </w:tc>
        <w:tc>
          <w:tcPr>
            <w:tcW w:w="606" w:type="pct"/>
            <w:shd w:val="clear" w:color="auto" w:fill="auto"/>
            <w:vAlign w:val="center"/>
          </w:tcPr>
          <w:p w14:paraId="42C5647C" w14:textId="77777777" w:rsidR="00E87FC3" w:rsidRPr="0059244C" w:rsidRDefault="00E87FC3" w:rsidP="00F41875">
            <w:pPr>
              <w:rPr>
                <w:rFonts w:ascii="Tw Cen MT" w:hAnsi="Tw Cen MT"/>
                <w:sz w:val="20"/>
                <w:szCs w:val="20"/>
              </w:rPr>
            </w:pPr>
            <w:r w:rsidRPr="0059244C">
              <w:rPr>
                <w:rFonts w:ascii="Tw Cen MT" w:hAnsi="Tw Cen MT"/>
                <w:sz w:val="20"/>
                <w:szCs w:val="20"/>
              </w:rPr>
              <w:t>Tasa de variación en el uso de información del Sistema de Información Estratégica</w:t>
            </w:r>
          </w:p>
        </w:tc>
        <w:tc>
          <w:tcPr>
            <w:tcW w:w="960" w:type="pct"/>
            <w:vAlign w:val="center"/>
          </w:tcPr>
          <w:p w14:paraId="29ACB04E" w14:textId="77777777" w:rsidR="00E87FC3" w:rsidRPr="0059244C" w:rsidRDefault="00E87FC3" w:rsidP="00F41875">
            <w:pPr>
              <w:rPr>
                <w:rFonts w:ascii="Tw Cen MT" w:hAnsi="Tw Cen MT"/>
                <w:sz w:val="20"/>
                <w:szCs w:val="20"/>
              </w:rPr>
            </w:pPr>
            <w:r w:rsidRPr="0059244C">
              <w:rPr>
                <w:rFonts w:ascii="Tw Cen MT" w:hAnsi="Tw Cen MT"/>
                <w:sz w:val="20"/>
                <w:szCs w:val="20"/>
              </w:rPr>
              <w:t>Mide la variación del uso de la información del Sistema de Información Estratégica del Estado de Jalisco y sus Municipios –con base en la suma de solicitudes de información recibidas a través del IIEG,  consultas a la página web, descargas de información en datos.jalisco.gob.mx, comunicados emitidos,  cursos y talleres impartidos, eventos realizados, material entregado y notas publicadas en medios de comunicación con información del IIEG–, respecto al uso de la información en el periodo anterior.</w:t>
            </w:r>
          </w:p>
        </w:tc>
        <w:tc>
          <w:tcPr>
            <w:tcW w:w="707" w:type="pct"/>
            <w:vAlign w:val="center"/>
          </w:tcPr>
          <w:p w14:paraId="60F47035" w14:textId="77777777" w:rsidR="00E87FC3" w:rsidRPr="0059244C" w:rsidRDefault="00E87FC3" w:rsidP="00F41875">
            <w:pPr>
              <w:rPr>
                <w:rFonts w:ascii="Tw Cen MT" w:hAnsi="Tw Cen MT"/>
                <w:sz w:val="20"/>
                <w:szCs w:val="20"/>
              </w:rPr>
            </w:pPr>
            <w:r w:rsidRPr="0059244C">
              <w:rPr>
                <w:rFonts w:ascii="Tw Cen MT" w:hAnsi="Tw Cen MT"/>
                <w:sz w:val="20"/>
                <w:szCs w:val="20"/>
              </w:rPr>
              <w:t>((Uso de información en el periodo actual/Uso de información en el periodo anterior)-1)*100</w:t>
            </w:r>
          </w:p>
        </w:tc>
        <w:tc>
          <w:tcPr>
            <w:tcW w:w="454" w:type="pct"/>
            <w:vAlign w:val="center"/>
          </w:tcPr>
          <w:p w14:paraId="1C819339" w14:textId="77777777" w:rsidR="00E87FC3" w:rsidRPr="0059244C" w:rsidRDefault="00E87FC3" w:rsidP="00F41875">
            <w:pPr>
              <w:rPr>
                <w:rFonts w:ascii="Tw Cen MT" w:hAnsi="Tw Cen MT"/>
                <w:sz w:val="20"/>
                <w:szCs w:val="20"/>
              </w:rPr>
            </w:pPr>
            <w:r w:rsidRPr="0059244C">
              <w:rPr>
                <w:rFonts w:ascii="Tw Cen MT" w:hAnsi="Tw Cen MT"/>
                <w:sz w:val="20"/>
                <w:szCs w:val="20"/>
              </w:rPr>
              <w:t>Tasa de variación</w:t>
            </w:r>
          </w:p>
        </w:tc>
        <w:tc>
          <w:tcPr>
            <w:tcW w:w="454" w:type="pct"/>
            <w:vAlign w:val="center"/>
          </w:tcPr>
          <w:p w14:paraId="31F9AFC0" w14:textId="77777777" w:rsidR="00E87FC3" w:rsidRPr="0059244C" w:rsidRDefault="00E87FC3" w:rsidP="00F41875">
            <w:pPr>
              <w:rPr>
                <w:rFonts w:ascii="Tw Cen MT" w:hAnsi="Tw Cen MT"/>
                <w:sz w:val="20"/>
                <w:szCs w:val="20"/>
              </w:rPr>
            </w:pPr>
            <w:r w:rsidRPr="0059244C">
              <w:rPr>
                <w:rFonts w:ascii="Tw Cen MT" w:hAnsi="Tw Cen MT"/>
                <w:sz w:val="20"/>
                <w:szCs w:val="20"/>
              </w:rPr>
              <w:t>Unidad de Coordinación del Sistema con base en los servicios de información, diseminación de datos, difusión y divulgación que ofrece el Instituto.</w:t>
            </w:r>
          </w:p>
        </w:tc>
        <w:tc>
          <w:tcPr>
            <w:tcW w:w="555" w:type="pct"/>
            <w:vAlign w:val="center"/>
          </w:tcPr>
          <w:p w14:paraId="52D81B83" w14:textId="77777777" w:rsidR="00E87FC3" w:rsidRPr="0059244C" w:rsidRDefault="00E87FC3" w:rsidP="00F41875">
            <w:pPr>
              <w:rPr>
                <w:rFonts w:ascii="Tw Cen MT" w:hAnsi="Tw Cen MT"/>
                <w:sz w:val="20"/>
                <w:szCs w:val="20"/>
              </w:rPr>
            </w:pPr>
            <w:r>
              <w:rPr>
                <w:rFonts w:ascii="Tw Cen MT" w:hAnsi="Tw Cen MT"/>
                <w:sz w:val="20"/>
                <w:szCs w:val="20"/>
              </w:rPr>
              <w:t>Trimestral</w:t>
            </w:r>
          </w:p>
        </w:tc>
        <w:tc>
          <w:tcPr>
            <w:tcW w:w="303" w:type="pct"/>
            <w:shd w:val="clear" w:color="auto" w:fill="auto"/>
            <w:vAlign w:val="center"/>
          </w:tcPr>
          <w:p w14:paraId="47A4445C" w14:textId="77777777" w:rsidR="00E87FC3" w:rsidRPr="0059244C" w:rsidRDefault="00E87FC3" w:rsidP="00F41875">
            <w:pPr>
              <w:rPr>
                <w:rFonts w:ascii="Tw Cen MT" w:hAnsi="Tw Cen MT"/>
                <w:sz w:val="20"/>
                <w:szCs w:val="20"/>
              </w:rPr>
            </w:pPr>
            <w:r>
              <w:rPr>
                <w:rFonts w:ascii="Tw Cen MT" w:hAnsi="Tw Cen MT"/>
                <w:sz w:val="20"/>
                <w:szCs w:val="20"/>
              </w:rPr>
              <w:t>10.51%</w:t>
            </w:r>
          </w:p>
        </w:tc>
        <w:tc>
          <w:tcPr>
            <w:tcW w:w="303" w:type="pct"/>
            <w:shd w:val="clear" w:color="auto" w:fill="auto"/>
            <w:vAlign w:val="center"/>
          </w:tcPr>
          <w:p w14:paraId="03DF5A1D" w14:textId="77777777" w:rsidR="00E87FC3" w:rsidRPr="0059244C" w:rsidRDefault="00E87FC3" w:rsidP="00F41875">
            <w:pPr>
              <w:rPr>
                <w:rFonts w:ascii="Tw Cen MT" w:hAnsi="Tw Cen MT"/>
                <w:sz w:val="20"/>
                <w:szCs w:val="20"/>
              </w:rPr>
            </w:pPr>
            <w:r>
              <w:rPr>
                <w:rFonts w:ascii="Tw Cen MT" w:hAnsi="Tw Cen MT"/>
                <w:sz w:val="20"/>
                <w:szCs w:val="20"/>
              </w:rPr>
              <w:t>10%</w:t>
            </w:r>
          </w:p>
        </w:tc>
      </w:tr>
      <w:tr w:rsidR="00E87FC3" w:rsidRPr="00D106AF" w14:paraId="4863E966" w14:textId="77777777" w:rsidTr="00E87FC3">
        <w:trPr>
          <w:trHeight w:val="2108"/>
        </w:trPr>
        <w:tc>
          <w:tcPr>
            <w:tcW w:w="656" w:type="pct"/>
            <w:shd w:val="clear" w:color="auto" w:fill="auto"/>
            <w:vAlign w:val="center"/>
          </w:tcPr>
          <w:p w14:paraId="0C0D3F54" w14:textId="77777777" w:rsidR="00E87FC3" w:rsidRPr="0059244C" w:rsidRDefault="00E87FC3" w:rsidP="00F41875">
            <w:pPr>
              <w:rPr>
                <w:rFonts w:ascii="Tw Cen MT" w:hAnsi="Tw Cen MT"/>
                <w:sz w:val="20"/>
                <w:szCs w:val="20"/>
              </w:rPr>
            </w:pPr>
            <w:r w:rsidRPr="0059244C">
              <w:rPr>
                <w:rFonts w:ascii="Tw Cen MT" w:hAnsi="Tw Cen MT"/>
                <w:sz w:val="20"/>
                <w:szCs w:val="20"/>
              </w:rPr>
              <w:t>Concentrar y sistematizar la información estadística en el Sistema de Información Estratégica del Estado de Jalisco y sus Municipios.</w:t>
            </w:r>
          </w:p>
        </w:tc>
        <w:tc>
          <w:tcPr>
            <w:tcW w:w="606" w:type="pct"/>
            <w:shd w:val="clear" w:color="auto" w:fill="auto"/>
            <w:vAlign w:val="center"/>
          </w:tcPr>
          <w:p w14:paraId="73432F9C" w14:textId="77777777" w:rsidR="00E87FC3" w:rsidRPr="0059244C" w:rsidRDefault="00E87FC3" w:rsidP="00F41875">
            <w:pPr>
              <w:rPr>
                <w:rFonts w:ascii="Tw Cen MT" w:hAnsi="Tw Cen MT"/>
                <w:sz w:val="20"/>
                <w:szCs w:val="20"/>
              </w:rPr>
            </w:pPr>
            <w:r w:rsidRPr="0059244C">
              <w:rPr>
                <w:rFonts w:ascii="Tw Cen MT" w:hAnsi="Tw Cen MT"/>
                <w:sz w:val="20"/>
                <w:szCs w:val="20"/>
              </w:rPr>
              <w:t>Porcentaje de avance en la conformación del Banco de Datos del SIEEJ</w:t>
            </w:r>
          </w:p>
        </w:tc>
        <w:tc>
          <w:tcPr>
            <w:tcW w:w="960" w:type="pct"/>
            <w:vAlign w:val="center"/>
          </w:tcPr>
          <w:p w14:paraId="7386796B" w14:textId="77777777" w:rsidR="00E87FC3" w:rsidRPr="0059244C" w:rsidRDefault="00E87FC3" w:rsidP="00F41875">
            <w:pPr>
              <w:rPr>
                <w:rFonts w:ascii="Tw Cen MT" w:hAnsi="Tw Cen MT"/>
                <w:sz w:val="20"/>
                <w:szCs w:val="20"/>
              </w:rPr>
            </w:pPr>
            <w:r w:rsidRPr="0059244C">
              <w:rPr>
                <w:rFonts w:ascii="Tw Cen MT" w:hAnsi="Tw Cen MT"/>
                <w:sz w:val="20"/>
                <w:szCs w:val="20"/>
              </w:rPr>
              <w:t>Mide la relación de las actividades realizadas respecto del total de actividades programadas para la conformación del Banco de Datos del SIEEJ</w:t>
            </w:r>
          </w:p>
        </w:tc>
        <w:tc>
          <w:tcPr>
            <w:tcW w:w="707" w:type="pct"/>
            <w:vAlign w:val="center"/>
          </w:tcPr>
          <w:p w14:paraId="08ECE08E" w14:textId="77777777" w:rsidR="00E87FC3" w:rsidRPr="00D106AF" w:rsidRDefault="00E87FC3" w:rsidP="00F41875">
            <w:pPr>
              <w:rPr>
                <w:rFonts w:ascii="Tw Cen MT" w:hAnsi="Tw Cen MT"/>
                <w:sz w:val="20"/>
                <w:szCs w:val="20"/>
              </w:rPr>
            </w:pPr>
            <w:r w:rsidRPr="00D106AF">
              <w:rPr>
                <w:rFonts w:ascii="Tw Cen MT" w:hAnsi="Tw Cen MT"/>
                <w:sz w:val="20"/>
                <w:szCs w:val="20"/>
              </w:rPr>
              <w:t>(Actividades realizadas/ Actividades programadas)*100</w:t>
            </w:r>
          </w:p>
        </w:tc>
        <w:tc>
          <w:tcPr>
            <w:tcW w:w="454" w:type="pct"/>
            <w:vAlign w:val="center"/>
          </w:tcPr>
          <w:p w14:paraId="026F639C" w14:textId="77777777" w:rsidR="00E87FC3" w:rsidRPr="00D106AF" w:rsidRDefault="00E87FC3" w:rsidP="00F41875">
            <w:pPr>
              <w:rPr>
                <w:rFonts w:ascii="Tw Cen MT" w:hAnsi="Tw Cen MT"/>
                <w:sz w:val="20"/>
                <w:szCs w:val="20"/>
              </w:rPr>
            </w:pPr>
            <w:r w:rsidRPr="00D106AF">
              <w:rPr>
                <w:rFonts w:ascii="Tw Cen MT" w:hAnsi="Tw Cen MT"/>
                <w:sz w:val="20"/>
                <w:szCs w:val="20"/>
              </w:rPr>
              <w:t>Porcentaje</w:t>
            </w:r>
          </w:p>
        </w:tc>
        <w:tc>
          <w:tcPr>
            <w:tcW w:w="454" w:type="pct"/>
            <w:vAlign w:val="center"/>
          </w:tcPr>
          <w:p w14:paraId="064CF7BF" w14:textId="77777777" w:rsidR="00E87FC3" w:rsidRPr="00D106AF" w:rsidRDefault="00E87FC3" w:rsidP="00F41875">
            <w:pPr>
              <w:rPr>
                <w:rFonts w:ascii="Tw Cen MT" w:hAnsi="Tw Cen MT"/>
                <w:sz w:val="20"/>
                <w:szCs w:val="20"/>
              </w:rPr>
            </w:pPr>
            <w:r w:rsidRPr="00D106AF">
              <w:rPr>
                <w:rFonts w:ascii="Tw Cen MT" w:hAnsi="Tw Cen MT"/>
                <w:sz w:val="20"/>
                <w:szCs w:val="20"/>
              </w:rPr>
              <w:t>iieg.gob.mx</w:t>
            </w:r>
          </w:p>
        </w:tc>
        <w:tc>
          <w:tcPr>
            <w:tcW w:w="555" w:type="pct"/>
            <w:vAlign w:val="center"/>
          </w:tcPr>
          <w:p w14:paraId="51C903F9" w14:textId="77777777" w:rsidR="00E87FC3" w:rsidRPr="00D106AF" w:rsidRDefault="00E87FC3" w:rsidP="00F41875">
            <w:pPr>
              <w:rPr>
                <w:rFonts w:ascii="Tw Cen MT" w:hAnsi="Tw Cen MT"/>
                <w:sz w:val="20"/>
                <w:szCs w:val="20"/>
              </w:rPr>
            </w:pPr>
            <w:r w:rsidRPr="00D106AF">
              <w:rPr>
                <w:rFonts w:ascii="Tw Cen MT" w:hAnsi="Tw Cen MT"/>
                <w:sz w:val="20"/>
                <w:szCs w:val="20"/>
              </w:rPr>
              <w:t>Trimestral</w:t>
            </w:r>
          </w:p>
        </w:tc>
        <w:tc>
          <w:tcPr>
            <w:tcW w:w="303" w:type="pct"/>
            <w:shd w:val="clear" w:color="auto" w:fill="auto"/>
            <w:vAlign w:val="center"/>
          </w:tcPr>
          <w:p w14:paraId="27AA5106" w14:textId="77777777" w:rsidR="00E87FC3" w:rsidRPr="00D106AF" w:rsidRDefault="00E87FC3" w:rsidP="00F41875">
            <w:pPr>
              <w:rPr>
                <w:rFonts w:ascii="Tw Cen MT" w:hAnsi="Tw Cen MT"/>
                <w:sz w:val="20"/>
                <w:szCs w:val="20"/>
              </w:rPr>
            </w:pPr>
            <w:r w:rsidRPr="00D106AF">
              <w:rPr>
                <w:rFonts w:ascii="Tw Cen MT" w:hAnsi="Tw Cen MT"/>
                <w:sz w:val="20"/>
                <w:szCs w:val="20"/>
              </w:rPr>
              <w:t>96.33%</w:t>
            </w:r>
          </w:p>
        </w:tc>
        <w:tc>
          <w:tcPr>
            <w:tcW w:w="303" w:type="pct"/>
            <w:shd w:val="clear" w:color="auto" w:fill="auto"/>
            <w:vAlign w:val="center"/>
          </w:tcPr>
          <w:p w14:paraId="4BF31B1C" w14:textId="77777777" w:rsidR="00E87FC3" w:rsidRPr="00D106AF" w:rsidRDefault="00E87FC3" w:rsidP="00F41875">
            <w:pPr>
              <w:rPr>
                <w:rFonts w:ascii="Tw Cen MT" w:hAnsi="Tw Cen MT"/>
                <w:sz w:val="20"/>
                <w:szCs w:val="20"/>
              </w:rPr>
            </w:pPr>
            <w:r w:rsidRPr="00D106AF">
              <w:rPr>
                <w:rFonts w:ascii="Tw Cen MT" w:hAnsi="Tw Cen MT"/>
                <w:sz w:val="20"/>
                <w:szCs w:val="20"/>
              </w:rPr>
              <w:t>96.60%</w:t>
            </w:r>
          </w:p>
        </w:tc>
      </w:tr>
      <w:tr w:rsidR="00E87FC3" w:rsidRPr="00D106AF" w14:paraId="6BC6B965" w14:textId="77777777" w:rsidTr="00E87FC3">
        <w:trPr>
          <w:trHeight w:val="3072"/>
        </w:trPr>
        <w:tc>
          <w:tcPr>
            <w:tcW w:w="656" w:type="pct"/>
            <w:shd w:val="clear" w:color="auto" w:fill="auto"/>
            <w:vAlign w:val="center"/>
          </w:tcPr>
          <w:p w14:paraId="3BFDBAEF" w14:textId="77777777" w:rsidR="00E87FC3" w:rsidRPr="0059244C" w:rsidRDefault="00E87FC3" w:rsidP="00F41875">
            <w:pPr>
              <w:rPr>
                <w:rFonts w:ascii="Tw Cen MT" w:hAnsi="Tw Cen MT"/>
                <w:sz w:val="20"/>
                <w:szCs w:val="20"/>
              </w:rPr>
            </w:pPr>
            <w:r w:rsidRPr="0059244C">
              <w:rPr>
                <w:rFonts w:ascii="Tw Cen MT" w:hAnsi="Tw Cen MT"/>
                <w:sz w:val="20"/>
                <w:szCs w:val="20"/>
              </w:rPr>
              <w:t>Diseñar, crear, reestructurar e innovar los métodos, normas, sistemas y procedimientos que permitan la búsqueda, generación, análisis, clasificación y difusión de la información estadística</w:t>
            </w:r>
          </w:p>
        </w:tc>
        <w:tc>
          <w:tcPr>
            <w:tcW w:w="606" w:type="pct"/>
            <w:shd w:val="clear" w:color="auto" w:fill="auto"/>
            <w:vAlign w:val="center"/>
          </w:tcPr>
          <w:p w14:paraId="0FF9243D" w14:textId="77777777" w:rsidR="00E87FC3" w:rsidRPr="0059244C" w:rsidRDefault="00E87FC3" w:rsidP="00F41875">
            <w:pPr>
              <w:rPr>
                <w:rFonts w:ascii="Tw Cen MT" w:hAnsi="Tw Cen MT"/>
                <w:sz w:val="20"/>
                <w:szCs w:val="20"/>
              </w:rPr>
            </w:pPr>
            <w:r w:rsidRPr="0059244C">
              <w:rPr>
                <w:rFonts w:ascii="Tw Cen MT" w:hAnsi="Tw Cen MT"/>
                <w:sz w:val="20"/>
                <w:szCs w:val="20"/>
              </w:rPr>
              <w:t>Tasa de variación de proyectos de vinculación externa con plataformas tecnológicas del IIEG</w:t>
            </w:r>
          </w:p>
        </w:tc>
        <w:tc>
          <w:tcPr>
            <w:tcW w:w="960" w:type="pct"/>
            <w:vAlign w:val="center"/>
          </w:tcPr>
          <w:p w14:paraId="63F00197" w14:textId="77777777" w:rsidR="00E87FC3" w:rsidRPr="0059244C" w:rsidRDefault="00E87FC3" w:rsidP="00F41875">
            <w:pPr>
              <w:rPr>
                <w:rFonts w:ascii="Tw Cen MT" w:hAnsi="Tw Cen MT"/>
                <w:sz w:val="20"/>
                <w:szCs w:val="20"/>
              </w:rPr>
            </w:pPr>
            <w:r w:rsidRPr="0059244C">
              <w:rPr>
                <w:rFonts w:ascii="Tw Cen MT" w:hAnsi="Tw Cen MT"/>
                <w:sz w:val="20"/>
                <w:szCs w:val="20"/>
              </w:rPr>
              <w:t>Mide la variación de proyectos de vinculación externa con las plataformas tecnológicas del SIEEJ respecto a los proyectos de vinculación externa con plataformas tecnológicas el IIEG en el periodo anterior</w:t>
            </w:r>
          </w:p>
        </w:tc>
        <w:tc>
          <w:tcPr>
            <w:tcW w:w="707" w:type="pct"/>
            <w:vAlign w:val="center"/>
          </w:tcPr>
          <w:p w14:paraId="0979D7FF" w14:textId="77777777" w:rsidR="00E87FC3" w:rsidRPr="0059244C" w:rsidRDefault="00E87FC3" w:rsidP="00F41875">
            <w:pPr>
              <w:rPr>
                <w:rFonts w:ascii="Tw Cen MT" w:hAnsi="Tw Cen MT"/>
                <w:sz w:val="20"/>
                <w:szCs w:val="20"/>
              </w:rPr>
            </w:pPr>
            <w:r w:rsidRPr="0059244C">
              <w:rPr>
                <w:rFonts w:ascii="Tw Cen MT" w:hAnsi="Tw Cen MT"/>
                <w:sz w:val="20"/>
                <w:szCs w:val="20"/>
              </w:rPr>
              <w:t>((Proyectos de vinculación externa con plataformas tecnológicas del IIEG en el periodo actual/Proyectos de vinculación externa con plataformas tecnológicas del IIEG en el periodo anterior)-1)*100</w:t>
            </w:r>
          </w:p>
        </w:tc>
        <w:tc>
          <w:tcPr>
            <w:tcW w:w="454" w:type="pct"/>
            <w:vAlign w:val="center"/>
          </w:tcPr>
          <w:p w14:paraId="226018D2" w14:textId="77777777" w:rsidR="00E87FC3" w:rsidRPr="0059244C" w:rsidRDefault="00E87FC3" w:rsidP="00F41875">
            <w:pPr>
              <w:rPr>
                <w:rFonts w:ascii="Tw Cen MT" w:hAnsi="Tw Cen MT"/>
                <w:sz w:val="20"/>
                <w:szCs w:val="20"/>
              </w:rPr>
            </w:pPr>
            <w:r w:rsidRPr="0059244C">
              <w:rPr>
                <w:rFonts w:ascii="Tw Cen MT" w:hAnsi="Tw Cen MT"/>
                <w:sz w:val="20"/>
                <w:szCs w:val="20"/>
              </w:rPr>
              <w:t>Tasa de variación</w:t>
            </w:r>
          </w:p>
        </w:tc>
        <w:tc>
          <w:tcPr>
            <w:tcW w:w="454" w:type="pct"/>
            <w:vAlign w:val="center"/>
          </w:tcPr>
          <w:p w14:paraId="5BA4F931" w14:textId="77777777" w:rsidR="00E87FC3" w:rsidRPr="0059244C" w:rsidRDefault="00E87FC3" w:rsidP="00F41875">
            <w:pPr>
              <w:rPr>
                <w:rFonts w:ascii="Tw Cen MT" w:hAnsi="Tw Cen MT"/>
                <w:sz w:val="20"/>
                <w:szCs w:val="20"/>
              </w:rPr>
            </w:pPr>
            <w:r w:rsidRPr="0059244C">
              <w:rPr>
                <w:rFonts w:ascii="Tw Cen MT" w:hAnsi="Tw Cen MT"/>
                <w:sz w:val="20"/>
                <w:szCs w:val="20"/>
              </w:rPr>
              <w:t>Unidad de Tecnologías de Información, iieg.gob.mx</w:t>
            </w:r>
          </w:p>
        </w:tc>
        <w:tc>
          <w:tcPr>
            <w:tcW w:w="555" w:type="pct"/>
            <w:vAlign w:val="center"/>
          </w:tcPr>
          <w:p w14:paraId="62F8C2E3" w14:textId="77777777" w:rsidR="00E87FC3" w:rsidRPr="00D106AF" w:rsidRDefault="00E87FC3" w:rsidP="00F41875">
            <w:pPr>
              <w:rPr>
                <w:rFonts w:ascii="Tw Cen MT" w:hAnsi="Tw Cen MT"/>
                <w:sz w:val="20"/>
                <w:szCs w:val="20"/>
              </w:rPr>
            </w:pPr>
            <w:r w:rsidRPr="00D106AF">
              <w:rPr>
                <w:rFonts w:ascii="Tw Cen MT" w:hAnsi="Tw Cen MT"/>
                <w:sz w:val="20"/>
                <w:szCs w:val="20"/>
              </w:rPr>
              <w:t>Mensual</w:t>
            </w:r>
          </w:p>
        </w:tc>
        <w:tc>
          <w:tcPr>
            <w:tcW w:w="303" w:type="pct"/>
            <w:shd w:val="clear" w:color="auto" w:fill="auto"/>
            <w:vAlign w:val="center"/>
          </w:tcPr>
          <w:p w14:paraId="7C59627E" w14:textId="77777777" w:rsidR="00E87FC3" w:rsidRPr="00D106AF" w:rsidRDefault="00E87FC3" w:rsidP="00F41875">
            <w:pPr>
              <w:rPr>
                <w:rFonts w:ascii="Tw Cen MT" w:hAnsi="Tw Cen MT"/>
                <w:sz w:val="20"/>
                <w:szCs w:val="20"/>
              </w:rPr>
            </w:pPr>
            <w:r w:rsidRPr="0059244C">
              <w:rPr>
                <w:rFonts w:ascii="Tw Cen MT" w:hAnsi="Tw Cen MT"/>
                <w:sz w:val="20"/>
                <w:szCs w:val="20"/>
              </w:rPr>
              <w:t>20.00</w:t>
            </w:r>
          </w:p>
        </w:tc>
        <w:tc>
          <w:tcPr>
            <w:tcW w:w="303" w:type="pct"/>
            <w:shd w:val="clear" w:color="auto" w:fill="auto"/>
            <w:vAlign w:val="center"/>
          </w:tcPr>
          <w:p w14:paraId="0C24686C" w14:textId="77777777" w:rsidR="00E87FC3" w:rsidRPr="00D106AF" w:rsidRDefault="00E87FC3" w:rsidP="00F41875">
            <w:pPr>
              <w:rPr>
                <w:rFonts w:ascii="Tw Cen MT" w:hAnsi="Tw Cen MT"/>
                <w:sz w:val="20"/>
                <w:szCs w:val="20"/>
              </w:rPr>
            </w:pPr>
            <w:r w:rsidRPr="0059244C">
              <w:rPr>
                <w:rFonts w:ascii="Tw Cen MT" w:hAnsi="Tw Cen MT"/>
                <w:sz w:val="20"/>
                <w:szCs w:val="20"/>
              </w:rPr>
              <w:t>20.00</w:t>
            </w:r>
          </w:p>
        </w:tc>
      </w:tr>
      <w:tr w:rsidR="00E87FC3" w:rsidRPr="00D106AF" w14:paraId="456D8298" w14:textId="77777777" w:rsidTr="00E87FC3">
        <w:trPr>
          <w:trHeight w:val="2986"/>
        </w:trPr>
        <w:tc>
          <w:tcPr>
            <w:tcW w:w="656" w:type="pct"/>
            <w:shd w:val="clear" w:color="auto" w:fill="auto"/>
            <w:vAlign w:val="center"/>
          </w:tcPr>
          <w:p w14:paraId="41C34071" w14:textId="77777777" w:rsidR="00E87FC3" w:rsidRPr="0059244C" w:rsidRDefault="00E87FC3" w:rsidP="00F41875">
            <w:pPr>
              <w:rPr>
                <w:rFonts w:ascii="Tw Cen MT" w:hAnsi="Tw Cen MT"/>
                <w:sz w:val="20"/>
                <w:szCs w:val="20"/>
              </w:rPr>
            </w:pPr>
            <w:r w:rsidRPr="0059244C">
              <w:rPr>
                <w:rFonts w:ascii="Tw Cen MT" w:hAnsi="Tw Cen MT"/>
                <w:sz w:val="20"/>
                <w:szCs w:val="20"/>
              </w:rPr>
              <w:t>Promover la generación de información de medio ambiente que permita medir las condiciones socio-económicas, ambientales y territoriales, para plantear políticas públicas para el desarrollo</w:t>
            </w:r>
          </w:p>
        </w:tc>
        <w:tc>
          <w:tcPr>
            <w:tcW w:w="606" w:type="pct"/>
            <w:shd w:val="clear" w:color="auto" w:fill="auto"/>
            <w:vAlign w:val="center"/>
          </w:tcPr>
          <w:p w14:paraId="7A8C067D" w14:textId="77777777" w:rsidR="00E87FC3" w:rsidRPr="0059244C" w:rsidRDefault="00E87FC3" w:rsidP="00F41875">
            <w:pPr>
              <w:rPr>
                <w:rFonts w:ascii="Tw Cen MT" w:hAnsi="Tw Cen MT"/>
                <w:sz w:val="20"/>
                <w:szCs w:val="20"/>
              </w:rPr>
            </w:pPr>
            <w:r w:rsidRPr="0059244C">
              <w:rPr>
                <w:rFonts w:ascii="Tw Cen MT" w:hAnsi="Tw Cen MT"/>
                <w:sz w:val="20"/>
                <w:szCs w:val="20"/>
              </w:rPr>
              <w:t xml:space="preserve">Porcentaje de </w:t>
            </w:r>
            <w:r>
              <w:rPr>
                <w:rFonts w:ascii="Tw Cen MT" w:hAnsi="Tw Cen MT"/>
                <w:sz w:val="20"/>
                <w:szCs w:val="20"/>
              </w:rPr>
              <w:t xml:space="preserve">asignaturas de gobierno identificadas por subsistema de información con metodologías, análisis o estudios desarrollados. </w:t>
            </w:r>
          </w:p>
        </w:tc>
        <w:tc>
          <w:tcPr>
            <w:tcW w:w="960" w:type="pct"/>
            <w:vAlign w:val="center"/>
          </w:tcPr>
          <w:p w14:paraId="68E1E8A3" w14:textId="77777777" w:rsidR="00E87FC3" w:rsidRPr="0059244C" w:rsidRDefault="00E87FC3" w:rsidP="00F41875">
            <w:pPr>
              <w:rPr>
                <w:rFonts w:ascii="Tw Cen MT" w:hAnsi="Tw Cen MT"/>
                <w:sz w:val="20"/>
                <w:szCs w:val="20"/>
              </w:rPr>
            </w:pPr>
            <w:r w:rsidRPr="0059244C">
              <w:rPr>
                <w:rFonts w:ascii="Tw Cen MT" w:hAnsi="Tw Cen MT"/>
                <w:sz w:val="20"/>
                <w:szCs w:val="20"/>
              </w:rPr>
              <w:t xml:space="preserve">Mide la relación de </w:t>
            </w:r>
            <w:r>
              <w:rPr>
                <w:rFonts w:ascii="Tw Cen MT" w:hAnsi="Tw Cen MT"/>
                <w:sz w:val="20"/>
                <w:szCs w:val="20"/>
              </w:rPr>
              <w:t xml:space="preserve">metodologías, análisis y estudios realizados por subsistema de información (Sociodemográfico, </w:t>
            </w:r>
            <w:proofErr w:type="spellStart"/>
            <w:r>
              <w:rPr>
                <w:rFonts w:ascii="Tw Cen MT" w:hAnsi="Tw Cen MT"/>
                <w:sz w:val="20"/>
                <w:szCs w:val="20"/>
              </w:rPr>
              <w:t>Económicofinanciero</w:t>
            </w:r>
            <w:proofErr w:type="spellEnd"/>
            <w:r>
              <w:rPr>
                <w:rFonts w:ascii="Tw Cen MT" w:hAnsi="Tw Cen MT"/>
                <w:sz w:val="20"/>
                <w:szCs w:val="20"/>
              </w:rPr>
              <w:t xml:space="preserve">, </w:t>
            </w:r>
            <w:proofErr w:type="spellStart"/>
            <w:r>
              <w:rPr>
                <w:rFonts w:ascii="Tw Cen MT" w:hAnsi="Tw Cen MT"/>
                <w:sz w:val="20"/>
                <w:szCs w:val="20"/>
              </w:rPr>
              <w:t>Geográficoambiental</w:t>
            </w:r>
            <w:proofErr w:type="spellEnd"/>
            <w:r>
              <w:rPr>
                <w:rFonts w:ascii="Tw Cen MT" w:hAnsi="Tw Cen MT"/>
                <w:sz w:val="20"/>
                <w:szCs w:val="20"/>
              </w:rPr>
              <w:t>, y de Gobierno, seguridad y justicia) respecto del total de asignaturas de gobierno</w:t>
            </w:r>
            <w:r w:rsidRPr="0059244C">
              <w:rPr>
                <w:rFonts w:ascii="Tw Cen MT" w:hAnsi="Tw Cen MT"/>
                <w:sz w:val="20"/>
                <w:szCs w:val="20"/>
              </w:rPr>
              <w:t xml:space="preserve">. </w:t>
            </w:r>
          </w:p>
        </w:tc>
        <w:tc>
          <w:tcPr>
            <w:tcW w:w="707" w:type="pct"/>
            <w:vAlign w:val="center"/>
          </w:tcPr>
          <w:p w14:paraId="3DA69F8A" w14:textId="77777777" w:rsidR="00E87FC3" w:rsidRPr="0059244C" w:rsidRDefault="00E87FC3" w:rsidP="00F41875">
            <w:pPr>
              <w:rPr>
                <w:rFonts w:ascii="Tw Cen MT" w:hAnsi="Tw Cen MT"/>
                <w:sz w:val="20"/>
                <w:szCs w:val="20"/>
              </w:rPr>
            </w:pPr>
            <w:r w:rsidRPr="0059244C">
              <w:rPr>
                <w:rFonts w:ascii="Tw Cen MT" w:hAnsi="Tw Cen MT"/>
                <w:sz w:val="20"/>
                <w:szCs w:val="20"/>
              </w:rPr>
              <w:t>(</w:t>
            </w:r>
            <w:r>
              <w:rPr>
                <w:rFonts w:ascii="Tw Cen MT" w:hAnsi="Tw Cen MT"/>
                <w:sz w:val="20"/>
                <w:szCs w:val="20"/>
              </w:rPr>
              <w:t>Capa de información que muestra situación de rezago y oportunidad (realizado)</w:t>
            </w:r>
            <w:r w:rsidRPr="0059244C">
              <w:rPr>
                <w:rFonts w:ascii="Tw Cen MT" w:hAnsi="Tw Cen MT"/>
                <w:sz w:val="20"/>
                <w:szCs w:val="20"/>
              </w:rPr>
              <w:t>/</w:t>
            </w:r>
            <w:r>
              <w:rPr>
                <w:rFonts w:ascii="Tw Cen MT" w:hAnsi="Tw Cen MT"/>
                <w:sz w:val="20"/>
                <w:szCs w:val="20"/>
              </w:rPr>
              <w:t>Capa de información que muestra situación de rezago y oportunidad (Programado</w:t>
            </w:r>
            <w:r w:rsidRPr="0059244C">
              <w:rPr>
                <w:rFonts w:ascii="Tw Cen MT" w:hAnsi="Tw Cen MT"/>
                <w:sz w:val="20"/>
                <w:szCs w:val="20"/>
              </w:rPr>
              <w:t>)</w:t>
            </w:r>
            <w:r>
              <w:rPr>
                <w:rFonts w:ascii="Tw Cen MT" w:hAnsi="Tw Cen MT"/>
                <w:sz w:val="20"/>
                <w:szCs w:val="20"/>
              </w:rPr>
              <w:t>)</w:t>
            </w:r>
            <w:r w:rsidRPr="0059244C">
              <w:rPr>
                <w:rFonts w:ascii="Tw Cen MT" w:hAnsi="Tw Cen MT"/>
                <w:sz w:val="20"/>
                <w:szCs w:val="20"/>
              </w:rPr>
              <w:t>*100</w:t>
            </w:r>
          </w:p>
        </w:tc>
        <w:tc>
          <w:tcPr>
            <w:tcW w:w="454" w:type="pct"/>
            <w:vAlign w:val="center"/>
          </w:tcPr>
          <w:p w14:paraId="3C43414E" w14:textId="77777777" w:rsidR="00E87FC3" w:rsidRPr="0059244C" w:rsidRDefault="00E87FC3" w:rsidP="00F41875">
            <w:pPr>
              <w:rPr>
                <w:rFonts w:ascii="Tw Cen MT" w:hAnsi="Tw Cen MT"/>
                <w:sz w:val="20"/>
                <w:szCs w:val="20"/>
              </w:rPr>
            </w:pPr>
            <w:r w:rsidRPr="0059244C">
              <w:rPr>
                <w:rFonts w:ascii="Tw Cen MT" w:hAnsi="Tw Cen MT"/>
                <w:sz w:val="20"/>
                <w:szCs w:val="20"/>
              </w:rPr>
              <w:t>Porcentaje</w:t>
            </w:r>
          </w:p>
        </w:tc>
        <w:tc>
          <w:tcPr>
            <w:tcW w:w="454" w:type="pct"/>
            <w:vAlign w:val="center"/>
          </w:tcPr>
          <w:p w14:paraId="7B2D34CF" w14:textId="77777777" w:rsidR="00E87FC3" w:rsidRPr="0059244C" w:rsidRDefault="00E87FC3" w:rsidP="00F41875">
            <w:pPr>
              <w:rPr>
                <w:rFonts w:ascii="Tw Cen MT" w:hAnsi="Tw Cen MT"/>
                <w:sz w:val="20"/>
                <w:szCs w:val="20"/>
              </w:rPr>
            </w:pPr>
            <w:r w:rsidRPr="0059244C">
              <w:rPr>
                <w:rFonts w:ascii="Tw Cen MT" w:hAnsi="Tw Cen MT"/>
                <w:sz w:val="20"/>
                <w:szCs w:val="20"/>
              </w:rPr>
              <w:t>Unidades de Información IIEG, SICYT CONACYT</w:t>
            </w:r>
          </w:p>
        </w:tc>
        <w:tc>
          <w:tcPr>
            <w:tcW w:w="555" w:type="pct"/>
            <w:vAlign w:val="center"/>
          </w:tcPr>
          <w:p w14:paraId="104FE37C" w14:textId="77777777" w:rsidR="00E87FC3" w:rsidRPr="00D106AF" w:rsidRDefault="00E87FC3" w:rsidP="00F41875">
            <w:pPr>
              <w:rPr>
                <w:rFonts w:ascii="Tw Cen MT" w:hAnsi="Tw Cen MT"/>
                <w:sz w:val="20"/>
                <w:szCs w:val="20"/>
              </w:rPr>
            </w:pPr>
            <w:r w:rsidRPr="00D106AF">
              <w:rPr>
                <w:rFonts w:ascii="Tw Cen MT" w:hAnsi="Tw Cen MT"/>
                <w:sz w:val="20"/>
                <w:szCs w:val="20"/>
              </w:rPr>
              <w:t>Trimestral</w:t>
            </w:r>
          </w:p>
        </w:tc>
        <w:tc>
          <w:tcPr>
            <w:tcW w:w="303" w:type="pct"/>
            <w:shd w:val="clear" w:color="auto" w:fill="auto"/>
            <w:vAlign w:val="center"/>
          </w:tcPr>
          <w:p w14:paraId="63D6D04E" w14:textId="77777777" w:rsidR="00E87FC3" w:rsidRPr="00D106AF" w:rsidRDefault="00E87FC3" w:rsidP="00F41875">
            <w:pPr>
              <w:rPr>
                <w:rFonts w:ascii="Tw Cen MT" w:hAnsi="Tw Cen MT"/>
                <w:sz w:val="20"/>
                <w:szCs w:val="20"/>
              </w:rPr>
            </w:pPr>
            <w:r>
              <w:rPr>
                <w:rFonts w:ascii="Tw Cen MT" w:hAnsi="Tw Cen MT"/>
                <w:sz w:val="20"/>
                <w:szCs w:val="20"/>
              </w:rPr>
              <w:t>18.75</w:t>
            </w:r>
            <w:r w:rsidRPr="00D106AF">
              <w:rPr>
                <w:rFonts w:ascii="Tw Cen MT" w:hAnsi="Tw Cen MT"/>
                <w:sz w:val="20"/>
                <w:szCs w:val="20"/>
              </w:rPr>
              <w:t>%</w:t>
            </w:r>
          </w:p>
        </w:tc>
        <w:tc>
          <w:tcPr>
            <w:tcW w:w="303" w:type="pct"/>
            <w:shd w:val="clear" w:color="auto" w:fill="auto"/>
            <w:vAlign w:val="center"/>
          </w:tcPr>
          <w:p w14:paraId="43022C62" w14:textId="77777777" w:rsidR="00E87FC3" w:rsidRPr="00D106AF" w:rsidRDefault="00E87FC3" w:rsidP="00F41875">
            <w:pPr>
              <w:rPr>
                <w:rFonts w:ascii="Tw Cen MT" w:hAnsi="Tw Cen MT"/>
                <w:sz w:val="20"/>
                <w:szCs w:val="20"/>
              </w:rPr>
            </w:pPr>
            <w:r>
              <w:rPr>
                <w:rFonts w:ascii="Tw Cen MT" w:hAnsi="Tw Cen MT"/>
                <w:sz w:val="20"/>
                <w:szCs w:val="20"/>
              </w:rPr>
              <w:t>21.75</w:t>
            </w:r>
            <w:r w:rsidRPr="00D106AF">
              <w:rPr>
                <w:rFonts w:ascii="Tw Cen MT" w:hAnsi="Tw Cen MT"/>
                <w:sz w:val="20"/>
                <w:szCs w:val="20"/>
              </w:rPr>
              <w:t>%</w:t>
            </w:r>
          </w:p>
        </w:tc>
      </w:tr>
    </w:tbl>
    <w:p w14:paraId="76425166" w14:textId="77777777" w:rsidR="00E87FC3" w:rsidRDefault="00E87FC3" w:rsidP="00E87FC3">
      <w:pPr>
        <w:jc w:val="both"/>
        <w:rPr>
          <w:lang w:val="es-MX"/>
        </w:rPr>
        <w:sectPr w:rsidR="00E87FC3" w:rsidSect="006F5AE6">
          <w:headerReference w:type="default" r:id="rId7"/>
          <w:footerReference w:type="default" r:id="rId8"/>
          <w:pgSz w:w="12240" w:h="15840" w:code="1"/>
          <w:pgMar w:top="1417" w:right="1701" w:bottom="1417" w:left="1701" w:header="708" w:footer="708" w:gutter="0"/>
          <w:cols w:space="708"/>
          <w:docGrid w:linePitch="360"/>
        </w:sectPr>
      </w:pPr>
    </w:p>
    <w:tbl>
      <w:tblPr>
        <w:tblW w:w="5399" w:type="pct"/>
        <w:tblInd w:w="-572"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1332"/>
        <w:gridCol w:w="1334"/>
        <w:gridCol w:w="1674"/>
        <w:gridCol w:w="1844"/>
        <w:gridCol w:w="980"/>
        <w:gridCol w:w="1286"/>
        <w:gridCol w:w="1131"/>
        <w:gridCol w:w="588"/>
        <w:gridCol w:w="588"/>
      </w:tblGrid>
      <w:tr w:rsidR="00E87FC3" w:rsidRPr="00E31057" w14:paraId="517A3CE2" w14:textId="77777777" w:rsidTr="00F41875">
        <w:trPr>
          <w:cantSplit/>
          <w:trHeight w:val="376"/>
          <w:tblHeader/>
        </w:trPr>
        <w:tc>
          <w:tcPr>
            <w:tcW w:w="637" w:type="pct"/>
            <w:vMerge w:val="restart"/>
            <w:shd w:val="clear" w:color="auto" w:fill="D9D9D9" w:themeFill="background1" w:themeFillShade="D9"/>
          </w:tcPr>
          <w:p w14:paraId="6957F794"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Objetivo Institucional</w:t>
            </w:r>
          </w:p>
        </w:tc>
        <w:tc>
          <w:tcPr>
            <w:tcW w:w="586" w:type="pct"/>
            <w:vMerge w:val="restart"/>
            <w:shd w:val="clear" w:color="auto" w:fill="D9D9D9" w:themeFill="background1" w:themeFillShade="D9"/>
            <w:vAlign w:val="center"/>
          </w:tcPr>
          <w:p w14:paraId="6EC1D496"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Nombre del Indicador actualizado</w:t>
            </w:r>
          </w:p>
        </w:tc>
        <w:tc>
          <w:tcPr>
            <w:tcW w:w="794" w:type="pct"/>
            <w:vMerge w:val="restart"/>
            <w:shd w:val="clear" w:color="auto" w:fill="D9D9D9" w:themeFill="background1" w:themeFillShade="D9"/>
          </w:tcPr>
          <w:p w14:paraId="1D0566F2"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Descripción del indicador</w:t>
            </w:r>
          </w:p>
        </w:tc>
        <w:tc>
          <w:tcPr>
            <w:tcW w:w="832" w:type="pct"/>
            <w:vMerge w:val="restart"/>
            <w:shd w:val="clear" w:color="auto" w:fill="D9D9D9" w:themeFill="background1" w:themeFillShade="D9"/>
          </w:tcPr>
          <w:p w14:paraId="734B0D7B"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Fórmula de cálculo</w:t>
            </w:r>
          </w:p>
        </w:tc>
        <w:tc>
          <w:tcPr>
            <w:tcW w:w="435" w:type="pct"/>
            <w:vMerge w:val="restart"/>
            <w:shd w:val="clear" w:color="auto" w:fill="D9D9D9" w:themeFill="background1" w:themeFillShade="D9"/>
          </w:tcPr>
          <w:p w14:paraId="21511109"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Unidad de medida</w:t>
            </w:r>
          </w:p>
        </w:tc>
        <w:tc>
          <w:tcPr>
            <w:tcW w:w="617" w:type="pct"/>
            <w:vMerge w:val="restart"/>
            <w:shd w:val="clear" w:color="auto" w:fill="D9D9D9" w:themeFill="background1" w:themeFillShade="D9"/>
          </w:tcPr>
          <w:p w14:paraId="3E0748BB"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Fuente de información</w:t>
            </w:r>
          </w:p>
        </w:tc>
        <w:tc>
          <w:tcPr>
            <w:tcW w:w="536" w:type="pct"/>
            <w:vMerge w:val="restart"/>
            <w:shd w:val="clear" w:color="auto" w:fill="D9D9D9" w:themeFill="background1" w:themeFillShade="D9"/>
          </w:tcPr>
          <w:p w14:paraId="387E0C32"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Frecuencia de actualización</w:t>
            </w:r>
          </w:p>
        </w:tc>
        <w:tc>
          <w:tcPr>
            <w:tcW w:w="563" w:type="pct"/>
            <w:gridSpan w:val="2"/>
            <w:shd w:val="clear" w:color="auto" w:fill="D9D9D9" w:themeFill="background1" w:themeFillShade="D9"/>
            <w:vAlign w:val="center"/>
          </w:tcPr>
          <w:p w14:paraId="56A6A0F8"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Meta</w:t>
            </w:r>
          </w:p>
        </w:tc>
      </w:tr>
      <w:tr w:rsidR="00E87FC3" w:rsidRPr="00E31057" w14:paraId="648AABE8" w14:textId="77777777" w:rsidTr="00F41875">
        <w:trPr>
          <w:cantSplit/>
          <w:trHeight w:val="510"/>
          <w:tblHeader/>
        </w:trPr>
        <w:tc>
          <w:tcPr>
            <w:tcW w:w="637" w:type="pct"/>
            <w:vMerge/>
            <w:shd w:val="clear" w:color="auto" w:fill="D9D9D9" w:themeFill="background1" w:themeFillShade="D9"/>
            <w:vAlign w:val="center"/>
            <w:hideMark/>
          </w:tcPr>
          <w:p w14:paraId="597E8E6E" w14:textId="77777777" w:rsidR="00E87FC3" w:rsidRPr="00E31057" w:rsidRDefault="00E87FC3" w:rsidP="00F41875">
            <w:pPr>
              <w:jc w:val="center"/>
              <w:rPr>
                <w:rFonts w:ascii="Tw Cen MT" w:eastAsia="Times New Roman" w:hAnsi="Tw Cen MT" w:cs="Times New Roman"/>
                <w:b/>
                <w:bCs/>
                <w:sz w:val="18"/>
                <w:szCs w:val="18"/>
              </w:rPr>
            </w:pPr>
          </w:p>
        </w:tc>
        <w:tc>
          <w:tcPr>
            <w:tcW w:w="586" w:type="pct"/>
            <w:vMerge/>
            <w:shd w:val="clear" w:color="auto" w:fill="D9D9D9" w:themeFill="background1" w:themeFillShade="D9"/>
            <w:vAlign w:val="center"/>
            <w:hideMark/>
          </w:tcPr>
          <w:p w14:paraId="672AF41D" w14:textId="77777777" w:rsidR="00E87FC3" w:rsidRPr="00E31057" w:rsidRDefault="00E87FC3" w:rsidP="00F41875">
            <w:pPr>
              <w:jc w:val="center"/>
              <w:rPr>
                <w:rFonts w:ascii="Tw Cen MT" w:eastAsia="Times New Roman" w:hAnsi="Tw Cen MT" w:cs="Times New Roman"/>
                <w:b/>
                <w:bCs/>
                <w:sz w:val="18"/>
                <w:szCs w:val="18"/>
              </w:rPr>
            </w:pPr>
          </w:p>
        </w:tc>
        <w:tc>
          <w:tcPr>
            <w:tcW w:w="794" w:type="pct"/>
            <w:vMerge/>
            <w:shd w:val="clear" w:color="auto" w:fill="D9D9D9" w:themeFill="background1" w:themeFillShade="D9"/>
          </w:tcPr>
          <w:p w14:paraId="75E3FAC9" w14:textId="77777777" w:rsidR="00E87FC3" w:rsidRPr="00E31057" w:rsidRDefault="00E87FC3" w:rsidP="00F41875">
            <w:pPr>
              <w:jc w:val="center"/>
              <w:rPr>
                <w:rFonts w:ascii="Tw Cen MT" w:eastAsia="Times New Roman" w:hAnsi="Tw Cen MT" w:cs="Times New Roman"/>
                <w:b/>
                <w:bCs/>
                <w:sz w:val="18"/>
                <w:szCs w:val="18"/>
              </w:rPr>
            </w:pPr>
          </w:p>
        </w:tc>
        <w:tc>
          <w:tcPr>
            <w:tcW w:w="832" w:type="pct"/>
            <w:vMerge/>
            <w:shd w:val="clear" w:color="auto" w:fill="D9D9D9" w:themeFill="background1" w:themeFillShade="D9"/>
          </w:tcPr>
          <w:p w14:paraId="4618F3B2" w14:textId="77777777" w:rsidR="00E87FC3" w:rsidRPr="00E31057" w:rsidRDefault="00E87FC3" w:rsidP="00F41875">
            <w:pPr>
              <w:jc w:val="center"/>
              <w:rPr>
                <w:rFonts w:ascii="Tw Cen MT" w:eastAsia="Times New Roman" w:hAnsi="Tw Cen MT" w:cs="Times New Roman"/>
                <w:b/>
                <w:bCs/>
                <w:sz w:val="18"/>
                <w:szCs w:val="18"/>
              </w:rPr>
            </w:pPr>
          </w:p>
        </w:tc>
        <w:tc>
          <w:tcPr>
            <w:tcW w:w="435" w:type="pct"/>
            <w:vMerge/>
            <w:shd w:val="clear" w:color="auto" w:fill="D9D9D9" w:themeFill="background1" w:themeFillShade="D9"/>
          </w:tcPr>
          <w:p w14:paraId="4649C51C" w14:textId="77777777" w:rsidR="00E87FC3" w:rsidRPr="00E31057" w:rsidRDefault="00E87FC3" w:rsidP="00F41875">
            <w:pPr>
              <w:jc w:val="center"/>
              <w:rPr>
                <w:rFonts w:ascii="Tw Cen MT" w:eastAsia="Times New Roman" w:hAnsi="Tw Cen MT" w:cs="Times New Roman"/>
                <w:b/>
                <w:bCs/>
                <w:sz w:val="18"/>
                <w:szCs w:val="18"/>
              </w:rPr>
            </w:pPr>
          </w:p>
        </w:tc>
        <w:tc>
          <w:tcPr>
            <w:tcW w:w="617" w:type="pct"/>
            <w:vMerge/>
            <w:shd w:val="clear" w:color="auto" w:fill="D9D9D9" w:themeFill="background1" w:themeFillShade="D9"/>
          </w:tcPr>
          <w:p w14:paraId="171BAE06" w14:textId="77777777" w:rsidR="00E87FC3" w:rsidRPr="00E31057" w:rsidRDefault="00E87FC3" w:rsidP="00F41875">
            <w:pPr>
              <w:jc w:val="center"/>
              <w:rPr>
                <w:rFonts w:ascii="Tw Cen MT" w:eastAsia="Times New Roman" w:hAnsi="Tw Cen MT" w:cs="Times New Roman"/>
                <w:b/>
                <w:bCs/>
                <w:sz w:val="18"/>
                <w:szCs w:val="18"/>
              </w:rPr>
            </w:pPr>
          </w:p>
        </w:tc>
        <w:tc>
          <w:tcPr>
            <w:tcW w:w="536" w:type="pct"/>
            <w:vMerge/>
            <w:shd w:val="clear" w:color="auto" w:fill="D9D9D9" w:themeFill="background1" w:themeFillShade="D9"/>
          </w:tcPr>
          <w:p w14:paraId="1BEFD068" w14:textId="77777777" w:rsidR="00E87FC3" w:rsidRPr="00E31057" w:rsidRDefault="00E87FC3" w:rsidP="00F41875">
            <w:pPr>
              <w:jc w:val="center"/>
              <w:rPr>
                <w:rFonts w:ascii="Tw Cen MT" w:eastAsia="Times New Roman" w:hAnsi="Tw Cen MT" w:cs="Times New Roman"/>
                <w:b/>
                <w:bCs/>
                <w:sz w:val="18"/>
                <w:szCs w:val="18"/>
              </w:rPr>
            </w:pPr>
          </w:p>
        </w:tc>
        <w:tc>
          <w:tcPr>
            <w:tcW w:w="283" w:type="pct"/>
            <w:shd w:val="clear" w:color="auto" w:fill="D9D9D9" w:themeFill="background1" w:themeFillShade="D9"/>
            <w:vAlign w:val="center"/>
            <w:hideMark/>
          </w:tcPr>
          <w:p w14:paraId="5A1AF069"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2017</w:t>
            </w:r>
          </w:p>
        </w:tc>
        <w:tc>
          <w:tcPr>
            <w:tcW w:w="280" w:type="pct"/>
            <w:shd w:val="clear" w:color="auto" w:fill="D9D9D9" w:themeFill="background1" w:themeFillShade="D9"/>
            <w:vAlign w:val="center"/>
          </w:tcPr>
          <w:p w14:paraId="5685C2B0" w14:textId="77777777" w:rsidR="00E87FC3" w:rsidRPr="00E31057" w:rsidRDefault="00E87FC3" w:rsidP="00F41875">
            <w:pPr>
              <w:jc w:val="center"/>
              <w:rPr>
                <w:rFonts w:ascii="Tw Cen MT" w:eastAsia="Times New Roman" w:hAnsi="Tw Cen MT" w:cs="Times New Roman"/>
                <w:b/>
                <w:bCs/>
                <w:sz w:val="18"/>
                <w:szCs w:val="18"/>
              </w:rPr>
            </w:pPr>
            <w:r w:rsidRPr="00E31057">
              <w:rPr>
                <w:rFonts w:ascii="Tw Cen MT" w:eastAsia="Times New Roman" w:hAnsi="Tw Cen MT" w:cs="Times New Roman"/>
                <w:b/>
                <w:bCs/>
                <w:sz w:val="18"/>
                <w:szCs w:val="18"/>
              </w:rPr>
              <w:t>2018</w:t>
            </w:r>
          </w:p>
        </w:tc>
      </w:tr>
      <w:tr w:rsidR="00E87FC3" w:rsidRPr="00E31057" w14:paraId="1E0EF0B9" w14:textId="77777777" w:rsidTr="00F41875">
        <w:trPr>
          <w:trHeight w:val="1020"/>
        </w:trPr>
        <w:tc>
          <w:tcPr>
            <w:tcW w:w="637" w:type="pct"/>
            <w:shd w:val="clear" w:color="auto" w:fill="auto"/>
            <w:vAlign w:val="center"/>
          </w:tcPr>
          <w:p w14:paraId="36F1D88B" w14:textId="77777777" w:rsidR="00E87FC3" w:rsidRPr="008C66E5" w:rsidRDefault="00E87FC3" w:rsidP="00F41875">
            <w:pPr>
              <w:spacing w:before="40" w:after="40"/>
              <w:rPr>
                <w:rFonts w:ascii="Tw Cen MT" w:hAnsi="Tw Cen MT"/>
                <w:sz w:val="20"/>
                <w:szCs w:val="20"/>
              </w:rPr>
            </w:pPr>
            <w:r w:rsidRPr="008C66E5">
              <w:rPr>
                <w:rFonts w:ascii="Tw Cen MT" w:hAnsi="Tw Cen MT"/>
                <w:sz w:val="20"/>
                <w:szCs w:val="20"/>
              </w:rPr>
              <w:t xml:space="preserve">Instrumentar mecanismos técnicos para integrar, actualizar y ministrar la información estadística y geográfica de Jalisco generada por los integrantes del </w:t>
            </w:r>
            <w:r>
              <w:rPr>
                <w:rFonts w:ascii="Tw Cen MT" w:hAnsi="Tw Cen MT"/>
                <w:sz w:val="20"/>
                <w:szCs w:val="20"/>
              </w:rPr>
              <w:t>SIEEJ</w:t>
            </w:r>
            <w:r w:rsidRPr="008C66E5">
              <w:rPr>
                <w:rFonts w:ascii="Tw Cen MT" w:hAnsi="Tw Cen MT"/>
                <w:sz w:val="20"/>
                <w:szCs w:val="20"/>
              </w:rPr>
              <w:t>.</w:t>
            </w:r>
          </w:p>
        </w:tc>
        <w:tc>
          <w:tcPr>
            <w:tcW w:w="586" w:type="pct"/>
            <w:shd w:val="clear" w:color="auto" w:fill="auto"/>
            <w:vAlign w:val="center"/>
          </w:tcPr>
          <w:p w14:paraId="770D3099" w14:textId="77777777" w:rsidR="00E87FC3" w:rsidRPr="00A645D7" w:rsidRDefault="00E87FC3" w:rsidP="00F41875">
            <w:pPr>
              <w:spacing w:before="40" w:after="40"/>
              <w:rPr>
                <w:rFonts w:ascii="Tw Cen MT" w:hAnsi="Tw Cen MT"/>
                <w:sz w:val="20"/>
                <w:szCs w:val="20"/>
              </w:rPr>
            </w:pPr>
            <w:r w:rsidRPr="00012C19">
              <w:rPr>
                <w:rFonts w:ascii="Tw Cen MT" w:hAnsi="Tw Cen MT"/>
                <w:sz w:val="20"/>
                <w:szCs w:val="20"/>
              </w:rPr>
              <w:t>Porcentaje de procedimientos para TI sustentados en anexos técnicos, análisis de factibilidad y dictámenes específicos</w:t>
            </w:r>
            <w:r>
              <w:rPr>
                <w:rFonts w:ascii="Tw Cen MT" w:hAnsi="Tw Cen MT"/>
                <w:sz w:val="20"/>
                <w:szCs w:val="20"/>
              </w:rPr>
              <w:t>.</w:t>
            </w:r>
          </w:p>
        </w:tc>
        <w:tc>
          <w:tcPr>
            <w:tcW w:w="794" w:type="pct"/>
            <w:vAlign w:val="center"/>
          </w:tcPr>
          <w:p w14:paraId="500E5132" w14:textId="77777777" w:rsidR="00E87FC3" w:rsidRPr="00012C19" w:rsidRDefault="00E87FC3" w:rsidP="00F41875">
            <w:pPr>
              <w:spacing w:before="40" w:after="40"/>
              <w:rPr>
                <w:rFonts w:ascii="Tw Cen MT" w:hAnsi="Tw Cen MT"/>
                <w:sz w:val="20"/>
                <w:szCs w:val="20"/>
              </w:rPr>
            </w:pPr>
            <w:r w:rsidRPr="00012C19">
              <w:rPr>
                <w:rFonts w:ascii="Tw Cen MT" w:hAnsi="Tw Cen MT"/>
                <w:sz w:val="20"/>
                <w:szCs w:val="20"/>
              </w:rPr>
              <w:t>Mide la relación de procedimientos para TI realizados (de adquisición, arrendamiento, reubicación, mantenimiento o modificación de</w:t>
            </w:r>
          </w:p>
          <w:p w14:paraId="504DCF7E" w14:textId="77777777" w:rsidR="00E87FC3" w:rsidRPr="00012C19" w:rsidRDefault="00E87FC3" w:rsidP="00F41875">
            <w:pPr>
              <w:spacing w:before="40" w:after="40"/>
              <w:rPr>
                <w:rFonts w:ascii="Tw Cen MT" w:hAnsi="Tw Cen MT"/>
                <w:sz w:val="20"/>
                <w:szCs w:val="20"/>
              </w:rPr>
            </w:pPr>
            <w:r w:rsidRPr="00012C19">
              <w:rPr>
                <w:rFonts w:ascii="Tw Cen MT" w:hAnsi="Tw Cen MT"/>
                <w:sz w:val="20"/>
                <w:szCs w:val="20"/>
              </w:rPr>
              <w:t>aplicaciones, equipos de cómputo, de almacenamiento y de telecomunicaciones, así como las instalaciones físicas que ocupen o</w:t>
            </w:r>
          </w:p>
          <w:p w14:paraId="541DF6EE" w14:textId="77777777" w:rsidR="00E87FC3" w:rsidRPr="00012C19" w:rsidRDefault="00E87FC3" w:rsidP="00F41875">
            <w:pPr>
              <w:spacing w:before="40" w:after="40"/>
              <w:rPr>
                <w:rFonts w:ascii="Tw Cen MT" w:hAnsi="Tw Cen MT"/>
                <w:sz w:val="20"/>
                <w:szCs w:val="20"/>
              </w:rPr>
            </w:pPr>
            <w:r w:rsidRPr="00012C19">
              <w:rPr>
                <w:rFonts w:ascii="Tw Cen MT" w:hAnsi="Tw Cen MT"/>
                <w:sz w:val="20"/>
                <w:szCs w:val="20"/>
              </w:rPr>
              <w:t>requieran), sustentados en anexos técnicos, análisis de factibilidad y dictámenes técnicos, respecto al total de procedimientos</w:t>
            </w:r>
          </w:p>
          <w:p w14:paraId="1C96E05B" w14:textId="77777777" w:rsidR="00E87FC3" w:rsidRPr="00A645D7" w:rsidRDefault="00E87FC3" w:rsidP="00F41875">
            <w:pPr>
              <w:spacing w:before="40" w:after="40"/>
              <w:rPr>
                <w:rFonts w:ascii="Tw Cen MT" w:hAnsi="Tw Cen MT"/>
                <w:sz w:val="20"/>
                <w:szCs w:val="20"/>
              </w:rPr>
            </w:pPr>
            <w:r w:rsidRPr="00012C19">
              <w:rPr>
                <w:rFonts w:ascii="Tw Cen MT" w:hAnsi="Tw Cen MT"/>
                <w:sz w:val="20"/>
                <w:szCs w:val="20"/>
              </w:rPr>
              <w:t>sustentados</w:t>
            </w:r>
            <w:r w:rsidRPr="00A645D7">
              <w:rPr>
                <w:rFonts w:ascii="Tw Cen MT" w:hAnsi="Tw Cen MT"/>
                <w:sz w:val="20"/>
                <w:szCs w:val="20"/>
              </w:rPr>
              <w:t>.</w:t>
            </w:r>
          </w:p>
        </w:tc>
        <w:tc>
          <w:tcPr>
            <w:tcW w:w="832" w:type="pct"/>
            <w:vAlign w:val="center"/>
          </w:tcPr>
          <w:p w14:paraId="6329B901" w14:textId="77777777" w:rsidR="00E87FC3" w:rsidRPr="00A645D7" w:rsidRDefault="00E87FC3" w:rsidP="00F41875">
            <w:pPr>
              <w:spacing w:before="40" w:after="40"/>
              <w:rPr>
                <w:rFonts w:ascii="Tw Cen MT" w:hAnsi="Tw Cen MT"/>
                <w:sz w:val="20"/>
                <w:szCs w:val="20"/>
              </w:rPr>
            </w:pPr>
            <w:r w:rsidRPr="00012C19">
              <w:rPr>
                <w:rFonts w:ascii="Tw Cen MT" w:hAnsi="Tw Cen MT"/>
                <w:sz w:val="20"/>
                <w:szCs w:val="20"/>
              </w:rPr>
              <w:t>(Número de procedimientos sustentados (Realizado) / Número de procedimientos sustentados (Programado))*100</w:t>
            </w:r>
          </w:p>
        </w:tc>
        <w:tc>
          <w:tcPr>
            <w:tcW w:w="435" w:type="pct"/>
            <w:vAlign w:val="center"/>
          </w:tcPr>
          <w:p w14:paraId="52AB532C" w14:textId="77777777" w:rsidR="00E87FC3" w:rsidRPr="00A645D7" w:rsidRDefault="00E87FC3" w:rsidP="00F41875">
            <w:pPr>
              <w:spacing w:before="40" w:after="40"/>
              <w:rPr>
                <w:rFonts w:ascii="Tw Cen MT" w:hAnsi="Tw Cen MT"/>
                <w:sz w:val="20"/>
                <w:szCs w:val="20"/>
              </w:rPr>
            </w:pPr>
            <w:r w:rsidRPr="00A645D7">
              <w:rPr>
                <w:rFonts w:ascii="Tw Cen MT" w:hAnsi="Tw Cen MT"/>
                <w:sz w:val="20"/>
                <w:szCs w:val="20"/>
              </w:rPr>
              <w:t>Porcentaje</w:t>
            </w:r>
          </w:p>
        </w:tc>
        <w:tc>
          <w:tcPr>
            <w:tcW w:w="617" w:type="pct"/>
            <w:vAlign w:val="center"/>
          </w:tcPr>
          <w:p w14:paraId="11A2A9D6" w14:textId="77777777" w:rsidR="00E87FC3" w:rsidRPr="00E31057" w:rsidRDefault="00E87FC3" w:rsidP="00F41875">
            <w:pPr>
              <w:jc w:val="center"/>
              <w:rPr>
                <w:rFonts w:ascii="Tw Cen MT" w:eastAsia="Times New Roman" w:hAnsi="Tw Cen MT" w:cs="Times New Roman"/>
                <w:color w:val="000000"/>
                <w:sz w:val="18"/>
                <w:szCs w:val="18"/>
              </w:rPr>
            </w:pPr>
            <w:r w:rsidRPr="00012C19">
              <w:rPr>
                <w:rFonts w:ascii="Tw Cen MT" w:eastAsia="Times New Roman" w:hAnsi="Tw Cen MT" w:cs="Times New Roman"/>
                <w:color w:val="000000"/>
                <w:sz w:val="18"/>
                <w:szCs w:val="18"/>
              </w:rPr>
              <w:t>Unidad de Tecnologías de Información y Unidad Administrativa del IIEG</w:t>
            </w:r>
            <w:r w:rsidRPr="00A645D7">
              <w:rPr>
                <w:rFonts w:ascii="Tw Cen MT" w:eastAsia="Times New Roman" w:hAnsi="Tw Cen MT" w:cs="Times New Roman"/>
                <w:color w:val="000000"/>
                <w:sz w:val="18"/>
                <w:szCs w:val="18"/>
              </w:rPr>
              <w:t>.</w:t>
            </w:r>
          </w:p>
        </w:tc>
        <w:tc>
          <w:tcPr>
            <w:tcW w:w="536" w:type="pct"/>
            <w:vAlign w:val="center"/>
          </w:tcPr>
          <w:p w14:paraId="285A2AF8" w14:textId="77777777" w:rsidR="00E87FC3" w:rsidRPr="00E31057" w:rsidRDefault="00E87FC3" w:rsidP="00F41875">
            <w:pPr>
              <w:jc w:val="cente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Trimestral</w:t>
            </w:r>
          </w:p>
        </w:tc>
        <w:tc>
          <w:tcPr>
            <w:tcW w:w="283" w:type="pct"/>
            <w:shd w:val="clear" w:color="auto" w:fill="auto"/>
            <w:vAlign w:val="center"/>
          </w:tcPr>
          <w:p w14:paraId="262F36B9" w14:textId="77777777" w:rsidR="00E87FC3" w:rsidRPr="00E31057" w:rsidRDefault="00E87FC3" w:rsidP="00F41875">
            <w:pPr>
              <w:jc w:val="cente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93.20</w:t>
            </w:r>
          </w:p>
        </w:tc>
        <w:tc>
          <w:tcPr>
            <w:tcW w:w="280" w:type="pct"/>
            <w:shd w:val="clear" w:color="auto" w:fill="auto"/>
            <w:vAlign w:val="center"/>
          </w:tcPr>
          <w:p w14:paraId="7C532DBF" w14:textId="77777777" w:rsidR="00E87FC3" w:rsidRPr="00E31057" w:rsidRDefault="00E87FC3" w:rsidP="00F41875">
            <w:pPr>
              <w:jc w:val="cente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93.20</w:t>
            </w:r>
          </w:p>
        </w:tc>
      </w:tr>
      <w:tr w:rsidR="00E87FC3" w:rsidRPr="00E31057" w14:paraId="250EAD14" w14:textId="77777777" w:rsidTr="00F41875">
        <w:trPr>
          <w:trHeight w:val="1020"/>
        </w:trPr>
        <w:tc>
          <w:tcPr>
            <w:tcW w:w="637" w:type="pct"/>
            <w:shd w:val="clear" w:color="auto" w:fill="auto"/>
            <w:vAlign w:val="center"/>
          </w:tcPr>
          <w:p w14:paraId="3E35B842" w14:textId="77777777" w:rsidR="00E87FC3" w:rsidRPr="008C66E5" w:rsidRDefault="00E87FC3" w:rsidP="00F41875">
            <w:pPr>
              <w:spacing w:before="40" w:after="40"/>
              <w:rPr>
                <w:rFonts w:ascii="Tw Cen MT" w:hAnsi="Tw Cen MT"/>
                <w:sz w:val="20"/>
                <w:szCs w:val="20"/>
              </w:rPr>
            </w:pPr>
            <w:r w:rsidRPr="008C66E5">
              <w:rPr>
                <w:rFonts w:ascii="Tw Cen MT" w:hAnsi="Tw Cen MT"/>
                <w:sz w:val="20"/>
                <w:szCs w:val="20"/>
              </w:rPr>
              <w:t>Mejorar el capital humano y capacidades institucionales del Instituto de Información Estadística y Geográfica del Estado de Jalisco</w:t>
            </w:r>
          </w:p>
        </w:tc>
        <w:tc>
          <w:tcPr>
            <w:tcW w:w="586" w:type="pct"/>
            <w:shd w:val="clear" w:color="auto" w:fill="auto"/>
            <w:vAlign w:val="center"/>
          </w:tcPr>
          <w:p w14:paraId="2DEA87A8" w14:textId="77777777" w:rsidR="00E87FC3" w:rsidRPr="00ED62E5" w:rsidRDefault="00E87FC3" w:rsidP="00F41875">
            <w:pPr>
              <w:spacing w:before="40" w:after="40"/>
              <w:rPr>
                <w:rFonts w:ascii="Tw Cen MT" w:hAnsi="Tw Cen MT"/>
                <w:sz w:val="20"/>
                <w:szCs w:val="20"/>
              </w:rPr>
            </w:pPr>
            <w:r w:rsidRPr="00ED62E5">
              <w:rPr>
                <w:rFonts w:ascii="Tw Cen MT" w:hAnsi="Tw Cen MT"/>
                <w:sz w:val="20"/>
                <w:szCs w:val="20"/>
              </w:rPr>
              <w:t>Porcentaje promedio de cumplimiento del programa anual de capacitación.</w:t>
            </w:r>
          </w:p>
        </w:tc>
        <w:tc>
          <w:tcPr>
            <w:tcW w:w="794" w:type="pct"/>
            <w:vAlign w:val="center"/>
          </w:tcPr>
          <w:p w14:paraId="1962FD0B" w14:textId="77777777" w:rsidR="00E87FC3" w:rsidRPr="00ED62E5" w:rsidRDefault="00E87FC3" w:rsidP="00F41875">
            <w:pPr>
              <w:spacing w:before="40" w:after="40"/>
              <w:rPr>
                <w:rFonts w:ascii="Tw Cen MT" w:hAnsi="Tw Cen MT"/>
                <w:sz w:val="20"/>
                <w:szCs w:val="20"/>
              </w:rPr>
            </w:pPr>
            <w:r w:rsidRPr="00ED62E5">
              <w:rPr>
                <w:rFonts w:ascii="Tw Cen MT" w:hAnsi="Tw Cen MT"/>
                <w:sz w:val="20"/>
                <w:szCs w:val="20"/>
              </w:rPr>
              <w:t>Mide la relación entre la capacitación efectivamente tomada por personal del IIEG y la autorizada por Junta de Gobierno.</w:t>
            </w:r>
          </w:p>
        </w:tc>
        <w:tc>
          <w:tcPr>
            <w:tcW w:w="832" w:type="pct"/>
            <w:vAlign w:val="center"/>
          </w:tcPr>
          <w:p w14:paraId="05924DA4" w14:textId="77777777" w:rsidR="00E87FC3" w:rsidRPr="00ED62E5" w:rsidRDefault="00E87FC3" w:rsidP="00F41875">
            <w:pPr>
              <w:spacing w:before="40" w:after="40"/>
              <w:rPr>
                <w:rFonts w:ascii="Tw Cen MT" w:hAnsi="Tw Cen MT"/>
                <w:sz w:val="20"/>
                <w:szCs w:val="20"/>
              </w:rPr>
            </w:pPr>
            <w:r w:rsidRPr="00ED62E5">
              <w:rPr>
                <w:rFonts w:ascii="Tw Cen MT" w:hAnsi="Tw Cen MT"/>
                <w:sz w:val="20"/>
                <w:szCs w:val="20"/>
              </w:rPr>
              <w:t>{[(Eventos de capacitación cursados y acreditados en el Trimestre 1 / Eventos del programa anual de capacitación aprobado para el Trimestre 1) * 100]+…+[(Eventos de capacitación cursados y acreditados en el Trimestre 4 / Eventos del programa anual de capacitación aprobado para el Trimestre 4) * 100]} /4</w:t>
            </w:r>
          </w:p>
        </w:tc>
        <w:tc>
          <w:tcPr>
            <w:tcW w:w="435" w:type="pct"/>
            <w:vAlign w:val="center"/>
          </w:tcPr>
          <w:p w14:paraId="58B93A5C" w14:textId="77777777" w:rsidR="00E87FC3" w:rsidRPr="00ED62E5" w:rsidRDefault="00E87FC3" w:rsidP="00F41875">
            <w:pPr>
              <w:spacing w:before="40" w:after="40"/>
              <w:rPr>
                <w:rFonts w:ascii="Tw Cen MT" w:hAnsi="Tw Cen MT"/>
                <w:sz w:val="20"/>
                <w:szCs w:val="20"/>
              </w:rPr>
            </w:pPr>
            <w:r w:rsidRPr="00ED62E5">
              <w:rPr>
                <w:rFonts w:ascii="Tw Cen MT" w:hAnsi="Tw Cen MT"/>
                <w:sz w:val="20"/>
                <w:szCs w:val="20"/>
              </w:rPr>
              <w:t>Porcentaje promedio</w:t>
            </w:r>
          </w:p>
        </w:tc>
        <w:tc>
          <w:tcPr>
            <w:tcW w:w="617" w:type="pct"/>
            <w:vAlign w:val="center"/>
          </w:tcPr>
          <w:p w14:paraId="5500B496" w14:textId="77777777" w:rsidR="00E87FC3" w:rsidRPr="00E31057" w:rsidRDefault="00E87FC3" w:rsidP="00F41875">
            <w:pPr>
              <w:jc w:val="cente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Dirección Administrativa IIEG- Programa anual de capacitación</w:t>
            </w:r>
          </w:p>
        </w:tc>
        <w:tc>
          <w:tcPr>
            <w:tcW w:w="536" w:type="pct"/>
            <w:vAlign w:val="center"/>
          </w:tcPr>
          <w:p w14:paraId="171CBE2E" w14:textId="77777777" w:rsidR="00E87FC3" w:rsidRPr="00E31057" w:rsidRDefault="00E87FC3" w:rsidP="00F41875">
            <w:pPr>
              <w:jc w:val="cente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Trimestral</w:t>
            </w:r>
          </w:p>
        </w:tc>
        <w:tc>
          <w:tcPr>
            <w:tcW w:w="283" w:type="pct"/>
            <w:shd w:val="clear" w:color="auto" w:fill="auto"/>
            <w:vAlign w:val="center"/>
          </w:tcPr>
          <w:p w14:paraId="44B89C77" w14:textId="77777777" w:rsidR="00E87FC3" w:rsidRPr="00E31057" w:rsidRDefault="00E87FC3" w:rsidP="00F41875">
            <w:pPr>
              <w:jc w:val="cente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100%</w:t>
            </w:r>
          </w:p>
        </w:tc>
        <w:tc>
          <w:tcPr>
            <w:tcW w:w="280" w:type="pct"/>
            <w:shd w:val="clear" w:color="auto" w:fill="auto"/>
            <w:vAlign w:val="center"/>
          </w:tcPr>
          <w:p w14:paraId="79574C15" w14:textId="77777777" w:rsidR="00E87FC3" w:rsidRPr="00E31057" w:rsidRDefault="00E87FC3" w:rsidP="00F41875">
            <w:pPr>
              <w:jc w:val="cente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100%</w:t>
            </w:r>
          </w:p>
        </w:tc>
      </w:tr>
      <w:tr w:rsidR="00E87FC3" w:rsidRPr="00E31057" w14:paraId="484E4473" w14:textId="77777777" w:rsidTr="00F41875">
        <w:trPr>
          <w:trHeight w:val="1020"/>
        </w:trPr>
        <w:tc>
          <w:tcPr>
            <w:tcW w:w="637" w:type="pct"/>
            <w:shd w:val="clear" w:color="auto" w:fill="auto"/>
            <w:vAlign w:val="center"/>
          </w:tcPr>
          <w:p w14:paraId="3F129E06" w14:textId="77777777" w:rsidR="00E87FC3" w:rsidRPr="00E31057" w:rsidRDefault="00E87FC3" w:rsidP="00F41875">
            <w:pPr>
              <w:rPr>
                <w:rFonts w:ascii="Tw Cen MT" w:hAnsi="Tw Cen MT"/>
              </w:rPr>
            </w:pPr>
            <w:r w:rsidRPr="008C66E5">
              <w:rPr>
                <w:rFonts w:ascii="Tw Cen MT" w:hAnsi="Tw Cen MT"/>
                <w:sz w:val="20"/>
                <w:szCs w:val="20"/>
              </w:rPr>
              <w:t>Divulgar la información estadística de calidad en materia  socio-demográfica, económico-financiera y geográfico-ambiental del estado de Jalisco</w:t>
            </w:r>
          </w:p>
        </w:tc>
        <w:tc>
          <w:tcPr>
            <w:tcW w:w="586" w:type="pct"/>
            <w:shd w:val="clear" w:color="auto" w:fill="auto"/>
            <w:vAlign w:val="center"/>
          </w:tcPr>
          <w:p w14:paraId="48452A24" w14:textId="77777777" w:rsidR="00E87FC3" w:rsidRPr="00A645D7" w:rsidRDefault="00E87FC3" w:rsidP="00F41875">
            <w:pPr>
              <w:rPr>
                <w:rFonts w:ascii="Tw Cen MT" w:hAnsi="Tw Cen MT"/>
                <w:sz w:val="20"/>
                <w:szCs w:val="20"/>
              </w:rPr>
            </w:pPr>
            <w:r w:rsidRPr="00A645D7">
              <w:rPr>
                <w:rFonts w:ascii="Tw Cen MT" w:hAnsi="Tw Cen MT"/>
                <w:sz w:val="20"/>
                <w:szCs w:val="20"/>
              </w:rPr>
              <w:t>Tasa de variación de participantes por sector en servicios de capacitación y divulgación del IIEG</w:t>
            </w:r>
          </w:p>
        </w:tc>
        <w:tc>
          <w:tcPr>
            <w:tcW w:w="794" w:type="pct"/>
            <w:vAlign w:val="center"/>
          </w:tcPr>
          <w:p w14:paraId="206E7861" w14:textId="77777777" w:rsidR="00E87FC3" w:rsidRPr="00A645D7" w:rsidRDefault="00E87FC3" w:rsidP="00F41875">
            <w:pPr>
              <w:rPr>
                <w:rFonts w:ascii="Tw Cen MT" w:hAnsi="Tw Cen MT"/>
                <w:sz w:val="20"/>
                <w:szCs w:val="20"/>
              </w:rPr>
            </w:pPr>
            <w:r w:rsidRPr="00A645D7">
              <w:rPr>
                <w:rFonts w:ascii="Tw Cen MT" w:hAnsi="Tw Cen MT"/>
                <w:sz w:val="20"/>
                <w:szCs w:val="20"/>
              </w:rPr>
              <w:t>Mide la variación de participantes de los sectores académico, social, empresarial, gubernamental y medios de comunicación en los eventos de capacitación y divulgación organizados por el IIEG respecto a los participantes de estos sectores en el periodo anterior</w:t>
            </w:r>
          </w:p>
        </w:tc>
        <w:tc>
          <w:tcPr>
            <w:tcW w:w="832" w:type="pct"/>
            <w:vAlign w:val="center"/>
          </w:tcPr>
          <w:p w14:paraId="490CD7C9" w14:textId="77777777" w:rsidR="00E87FC3" w:rsidRPr="00A645D7" w:rsidRDefault="00E87FC3" w:rsidP="00F41875">
            <w:pPr>
              <w:rPr>
                <w:rFonts w:ascii="Tw Cen MT" w:hAnsi="Tw Cen MT"/>
                <w:sz w:val="20"/>
                <w:szCs w:val="20"/>
              </w:rPr>
            </w:pPr>
            <w:r w:rsidRPr="00A645D7">
              <w:rPr>
                <w:rFonts w:ascii="Tw Cen MT" w:hAnsi="Tw Cen MT"/>
                <w:sz w:val="20"/>
                <w:szCs w:val="20"/>
              </w:rPr>
              <w:t>((Participantes por sector en servicios de capacitación y divulgación en el periodo actual/Participantes por sector en servicios de capacitación y divulgación en el periodo anterior)-1)*100</w:t>
            </w:r>
          </w:p>
        </w:tc>
        <w:tc>
          <w:tcPr>
            <w:tcW w:w="435" w:type="pct"/>
            <w:vAlign w:val="center"/>
          </w:tcPr>
          <w:p w14:paraId="0CBF1CDA" w14:textId="77777777" w:rsidR="00E87FC3" w:rsidRPr="00A645D7" w:rsidRDefault="00E87FC3" w:rsidP="00F41875">
            <w:pPr>
              <w:rPr>
                <w:rFonts w:ascii="Tw Cen MT" w:hAnsi="Tw Cen MT"/>
                <w:sz w:val="20"/>
                <w:szCs w:val="20"/>
              </w:rPr>
            </w:pPr>
            <w:r w:rsidRPr="00A645D7">
              <w:rPr>
                <w:rFonts w:ascii="Tw Cen MT" w:hAnsi="Tw Cen MT"/>
                <w:sz w:val="20"/>
                <w:szCs w:val="20"/>
              </w:rPr>
              <w:t>Tasa de variación</w:t>
            </w:r>
          </w:p>
        </w:tc>
        <w:tc>
          <w:tcPr>
            <w:tcW w:w="617" w:type="pct"/>
            <w:vAlign w:val="center"/>
          </w:tcPr>
          <w:p w14:paraId="1AC2A114" w14:textId="77777777" w:rsidR="00E87FC3" w:rsidRPr="00A645D7" w:rsidRDefault="00E87FC3" w:rsidP="00F41875">
            <w:pPr>
              <w:jc w:val="center"/>
              <w:rPr>
                <w:rFonts w:ascii="Tw Cen MT" w:hAnsi="Tw Cen MT"/>
                <w:sz w:val="20"/>
                <w:szCs w:val="20"/>
              </w:rPr>
            </w:pPr>
            <w:r>
              <w:rPr>
                <w:rFonts w:ascii="Tw Cen MT" w:hAnsi="Tw Cen MT"/>
                <w:sz w:val="20"/>
                <w:szCs w:val="20"/>
              </w:rPr>
              <w:t xml:space="preserve">Coordinación del Sistema </w:t>
            </w:r>
          </w:p>
        </w:tc>
        <w:tc>
          <w:tcPr>
            <w:tcW w:w="536" w:type="pct"/>
            <w:vAlign w:val="center"/>
          </w:tcPr>
          <w:p w14:paraId="37AA337D" w14:textId="77777777" w:rsidR="00E87FC3" w:rsidRPr="00A645D7" w:rsidRDefault="00E87FC3" w:rsidP="00F41875">
            <w:pPr>
              <w:jc w:val="center"/>
              <w:rPr>
                <w:rFonts w:ascii="Tw Cen MT" w:hAnsi="Tw Cen MT"/>
                <w:sz w:val="20"/>
                <w:szCs w:val="20"/>
              </w:rPr>
            </w:pPr>
            <w:r>
              <w:rPr>
                <w:rFonts w:ascii="Tw Cen MT" w:hAnsi="Tw Cen MT"/>
                <w:sz w:val="20"/>
                <w:szCs w:val="20"/>
              </w:rPr>
              <w:t>Mensual</w:t>
            </w:r>
          </w:p>
        </w:tc>
        <w:tc>
          <w:tcPr>
            <w:tcW w:w="283" w:type="pct"/>
            <w:shd w:val="clear" w:color="auto" w:fill="auto"/>
            <w:vAlign w:val="center"/>
          </w:tcPr>
          <w:p w14:paraId="1786173B" w14:textId="77777777" w:rsidR="00E87FC3" w:rsidRPr="00A645D7" w:rsidRDefault="00E87FC3" w:rsidP="00F41875">
            <w:pPr>
              <w:jc w:val="center"/>
              <w:rPr>
                <w:rFonts w:ascii="Tw Cen MT" w:hAnsi="Tw Cen MT"/>
                <w:sz w:val="20"/>
                <w:szCs w:val="20"/>
              </w:rPr>
            </w:pPr>
            <w:r>
              <w:rPr>
                <w:rFonts w:ascii="Tw Cen MT" w:hAnsi="Tw Cen MT"/>
                <w:sz w:val="20"/>
                <w:szCs w:val="20"/>
              </w:rPr>
              <w:t>20%</w:t>
            </w:r>
          </w:p>
        </w:tc>
        <w:tc>
          <w:tcPr>
            <w:tcW w:w="280" w:type="pct"/>
            <w:shd w:val="clear" w:color="auto" w:fill="auto"/>
            <w:vAlign w:val="center"/>
          </w:tcPr>
          <w:p w14:paraId="0E35FD97" w14:textId="77777777" w:rsidR="00E87FC3" w:rsidRPr="00A645D7" w:rsidRDefault="00E87FC3" w:rsidP="00F41875">
            <w:pPr>
              <w:jc w:val="center"/>
              <w:rPr>
                <w:rFonts w:ascii="Tw Cen MT" w:hAnsi="Tw Cen MT"/>
                <w:sz w:val="20"/>
                <w:szCs w:val="20"/>
              </w:rPr>
            </w:pPr>
            <w:r>
              <w:rPr>
                <w:rFonts w:ascii="Tw Cen MT" w:hAnsi="Tw Cen MT"/>
                <w:sz w:val="20"/>
                <w:szCs w:val="20"/>
              </w:rPr>
              <w:t>20%</w:t>
            </w:r>
          </w:p>
        </w:tc>
      </w:tr>
      <w:tr w:rsidR="00E87FC3" w:rsidRPr="00E31057" w14:paraId="0278294A" w14:textId="77777777" w:rsidTr="00F41875">
        <w:trPr>
          <w:trHeight w:val="1020"/>
        </w:trPr>
        <w:tc>
          <w:tcPr>
            <w:tcW w:w="637" w:type="pct"/>
            <w:shd w:val="clear" w:color="auto" w:fill="auto"/>
            <w:vAlign w:val="center"/>
          </w:tcPr>
          <w:p w14:paraId="7DA4CB43" w14:textId="77777777" w:rsidR="00E87FC3" w:rsidRPr="00E31057" w:rsidRDefault="00E87FC3" w:rsidP="00F41875">
            <w:pPr>
              <w:rPr>
                <w:rFonts w:ascii="Tw Cen MT" w:hAnsi="Tw Cen MT"/>
              </w:rPr>
            </w:pPr>
            <w:r w:rsidRPr="008C66E5">
              <w:rPr>
                <w:rFonts w:ascii="Tw Cen MT" w:hAnsi="Tw Cen MT"/>
                <w:sz w:val="20"/>
                <w:szCs w:val="20"/>
              </w:rPr>
              <w:t>Articular proyectos en las regiones de Jalisco para la generación, uso y difusión de información estadística y geográfica.</w:t>
            </w:r>
          </w:p>
        </w:tc>
        <w:tc>
          <w:tcPr>
            <w:tcW w:w="586" w:type="pct"/>
            <w:shd w:val="clear" w:color="auto" w:fill="auto"/>
            <w:vAlign w:val="center"/>
          </w:tcPr>
          <w:p w14:paraId="3616C13A" w14:textId="77777777" w:rsidR="00E87FC3" w:rsidRPr="00460B2D" w:rsidRDefault="00E87FC3" w:rsidP="00F41875">
            <w:pPr>
              <w:rPr>
                <w:rFonts w:ascii="Tw Cen MT" w:hAnsi="Tw Cen MT"/>
                <w:sz w:val="20"/>
                <w:szCs w:val="20"/>
              </w:rPr>
            </w:pPr>
            <w:r w:rsidRPr="00460B2D">
              <w:rPr>
                <w:rFonts w:ascii="Tw Cen MT" w:hAnsi="Tw Cen MT"/>
                <w:sz w:val="20"/>
                <w:szCs w:val="20"/>
              </w:rPr>
              <w:t>Porcentaje de cumplimiento del Programa Anual de Trabajo del Comité Estatal de Información Estadística y Geográfica</w:t>
            </w:r>
          </w:p>
        </w:tc>
        <w:tc>
          <w:tcPr>
            <w:tcW w:w="794" w:type="pct"/>
            <w:vAlign w:val="center"/>
          </w:tcPr>
          <w:p w14:paraId="21FF9986" w14:textId="77777777" w:rsidR="00E87FC3" w:rsidRPr="00460B2D" w:rsidRDefault="00E87FC3" w:rsidP="00F41875">
            <w:pPr>
              <w:rPr>
                <w:rFonts w:ascii="Tw Cen MT" w:hAnsi="Tw Cen MT"/>
                <w:sz w:val="20"/>
                <w:szCs w:val="20"/>
              </w:rPr>
            </w:pPr>
            <w:r w:rsidRPr="00460B2D">
              <w:rPr>
                <w:rFonts w:ascii="Tw Cen MT" w:hAnsi="Tw Cen MT"/>
                <w:sz w:val="20"/>
                <w:szCs w:val="20"/>
              </w:rPr>
              <w:t>Mide la relación de proyectos realizados en el marco del Comité Estatal de Información Estadística y Geográfica- CEIEG Jalisco, respecto a los proyectos previstos en el Programa Anual de Trabajo- PAT 2018</w:t>
            </w:r>
          </w:p>
        </w:tc>
        <w:tc>
          <w:tcPr>
            <w:tcW w:w="832" w:type="pct"/>
            <w:vAlign w:val="center"/>
          </w:tcPr>
          <w:p w14:paraId="65B18025" w14:textId="77777777" w:rsidR="00E87FC3" w:rsidRPr="00460B2D" w:rsidRDefault="00E87FC3" w:rsidP="00F41875">
            <w:pPr>
              <w:rPr>
                <w:rFonts w:ascii="Tw Cen MT" w:hAnsi="Tw Cen MT"/>
                <w:sz w:val="20"/>
                <w:szCs w:val="20"/>
              </w:rPr>
            </w:pPr>
            <w:r w:rsidRPr="00460B2D">
              <w:rPr>
                <w:rFonts w:ascii="Tw Cen MT" w:hAnsi="Tw Cen MT"/>
                <w:sz w:val="20"/>
                <w:szCs w:val="20"/>
              </w:rPr>
              <w:t>(Proyectos realizados/Proyectos programados)*100</w:t>
            </w:r>
          </w:p>
        </w:tc>
        <w:tc>
          <w:tcPr>
            <w:tcW w:w="435" w:type="pct"/>
            <w:vAlign w:val="center"/>
          </w:tcPr>
          <w:p w14:paraId="658DFCCE" w14:textId="77777777" w:rsidR="00E87FC3" w:rsidRPr="00460B2D" w:rsidRDefault="00E87FC3" w:rsidP="00F41875">
            <w:pPr>
              <w:rPr>
                <w:rFonts w:ascii="Tw Cen MT" w:hAnsi="Tw Cen MT"/>
                <w:sz w:val="20"/>
                <w:szCs w:val="20"/>
              </w:rPr>
            </w:pPr>
            <w:r w:rsidRPr="00460B2D">
              <w:rPr>
                <w:rFonts w:ascii="Tw Cen MT" w:hAnsi="Tw Cen MT"/>
                <w:sz w:val="20"/>
                <w:szCs w:val="20"/>
              </w:rPr>
              <w:t>Porcentaje</w:t>
            </w:r>
          </w:p>
        </w:tc>
        <w:tc>
          <w:tcPr>
            <w:tcW w:w="617" w:type="pct"/>
            <w:vAlign w:val="center"/>
          </w:tcPr>
          <w:p w14:paraId="13286439" w14:textId="77777777" w:rsidR="00E87FC3" w:rsidRPr="00E31057" w:rsidRDefault="00E87FC3" w:rsidP="00F41875">
            <w:pPr>
              <w:jc w:val="center"/>
              <w:rPr>
                <w:rFonts w:ascii="Tw Cen MT" w:eastAsia="Times New Roman" w:hAnsi="Tw Cen MT" w:cs="Times New Roman"/>
                <w:color w:val="000000"/>
                <w:sz w:val="18"/>
                <w:szCs w:val="18"/>
              </w:rPr>
            </w:pPr>
            <w:r w:rsidRPr="00460B2D">
              <w:rPr>
                <w:rFonts w:ascii="Tw Cen MT" w:eastAsia="Times New Roman" w:hAnsi="Tw Cen MT" w:cs="Times New Roman"/>
                <w:color w:val="000000"/>
                <w:sz w:val="18"/>
                <w:szCs w:val="18"/>
              </w:rPr>
              <w:t>CEIEG; de Unidad de Coordinación del Sistema; INEGI</w:t>
            </w:r>
          </w:p>
        </w:tc>
        <w:tc>
          <w:tcPr>
            <w:tcW w:w="536" w:type="pct"/>
            <w:vAlign w:val="center"/>
          </w:tcPr>
          <w:p w14:paraId="0F999C14" w14:textId="77777777" w:rsidR="00E87FC3" w:rsidRPr="00E31057" w:rsidRDefault="00E87FC3" w:rsidP="00F41875">
            <w:pPr>
              <w:jc w:val="cente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Mensual</w:t>
            </w:r>
          </w:p>
        </w:tc>
        <w:tc>
          <w:tcPr>
            <w:tcW w:w="283" w:type="pct"/>
            <w:shd w:val="clear" w:color="auto" w:fill="auto"/>
            <w:vAlign w:val="center"/>
          </w:tcPr>
          <w:p w14:paraId="130555AE" w14:textId="77777777" w:rsidR="00E87FC3" w:rsidRPr="00E31057" w:rsidRDefault="00E87FC3" w:rsidP="00F41875">
            <w:pPr>
              <w:jc w:val="cente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90%</w:t>
            </w:r>
          </w:p>
        </w:tc>
        <w:tc>
          <w:tcPr>
            <w:tcW w:w="280" w:type="pct"/>
            <w:shd w:val="clear" w:color="auto" w:fill="auto"/>
            <w:vAlign w:val="center"/>
          </w:tcPr>
          <w:p w14:paraId="4EB4A058" w14:textId="77777777" w:rsidR="00E87FC3" w:rsidRPr="00E31057" w:rsidRDefault="00E87FC3" w:rsidP="00F41875">
            <w:pPr>
              <w:jc w:val="center"/>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100%</w:t>
            </w:r>
          </w:p>
        </w:tc>
      </w:tr>
    </w:tbl>
    <w:p w14:paraId="24D93299" w14:textId="77777777" w:rsidR="00E87FC3" w:rsidRPr="00E87FC3" w:rsidRDefault="00E87FC3" w:rsidP="00E87FC3">
      <w:pPr>
        <w:jc w:val="right"/>
        <w:rPr>
          <w:rFonts w:ascii="Arial" w:hAnsi="Arial"/>
          <w:sz w:val="22"/>
          <w:szCs w:val="22"/>
          <w:lang w:val="es-MX"/>
        </w:rPr>
      </w:pPr>
    </w:p>
    <w:sectPr w:rsidR="00E87FC3" w:rsidRPr="00E87FC3" w:rsidSect="0050666E">
      <w:headerReference w:type="default" r:id="rId9"/>
      <w:footerReference w:type="default" r:id="rId10"/>
      <w:pgSz w:w="12240" w:h="15840"/>
      <w:pgMar w:top="2410"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BF98B" w14:textId="77777777" w:rsidR="00E002D1" w:rsidRDefault="00E002D1" w:rsidP="00E002D1">
      <w:r>
        <w:separator/>
      </w:r>
    </w:p>
  </w:endnote>
  <w:endnote w:type="continuationSeparator" w:id="0">
    <w:p w14:paraId="548D025D" w14:textId="77777777" w:rsidR="00E002D1" w:rsidRDefault="00E002D1" w:rsidP="00E0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205174966"/>
      <w:docPartObj>
        <w:docPartGallery w:val="Page Numbers (Bottom of Page)"/>
        <w:docPartUnique/>
      </w:docPartObj>
    </w:sdtPr>
    <w:sdtEndPr/>
    <w:sdtContent>
      <w:p w14:paraId="6E5A8588" w14:textId="6A090D8B" w:rsidR="00E87FC3" w:rsidRPr="002F20A1" w:rsidRDefault="00E87FC3">
        <w:pPr>
          <w:pStyle w:val="Piedepgina"/>
          <w:jc w:val="right"/>
          <w:rPr>
            <w:color w:val="808080" w:themeColor="background1" w:themeShade="80"/>
          </w:rPr>
        </w:pPr>
        <w:r w:rsidRPr="002F20A1">
          <w:rPr>
            <w:color w:val="808080" w:themeColor="background1" w:themeShade="80"/>
          </w:rPr>
          <w:fldChar w:fldCharType="begin"/>
        </w:r>
        <w:r w:rsidRPr="002F20A1">
          <w:rPr>
            <w:color w:val="808080" w:themeColor="background1" w:themeShade="80"/>
          </w:rPr>
          <w:instrText>PAGE   \* MERGEFORMAT</w:instrText>
        </w:r>
        <w:r w:rsidRPr="002F20A1">
          <w:rPr>
            <w:color w:val="808080" w:themeColor="background1" w:themeShade="80"/>
          </w:rPr>
          <w:fldChar w:fldCharType="separate"/>
        </w:r>
        <w:r w:rsidR="0088368E">
          <w:rPr>
            <w:noProof/>
            <w:color w:val="808080" w:themeColor="background1" w:themeShade="80"/>
          </w:rPr>
          <w:t>5</w:t>
        </w:r>
        <w:r w:rsidRPr="002F20A1">
          <w:rPr>
            <w:color w:val="808080" w:themeColor="background1" w:themeShade="80"/>
          </w:rPr>
          <w:fldChar w:fldCharType="end"/>
        </w:r>
      </w:p>
    </w:sdtContent>
  </w:sdt>
  <w:p w14:paraId="21C1AF3D" w14:textId="77777777" w:rsidR="00E87FC3" w:rsidRDefault="00E87F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BFF9D" w14:textId="4C1E9B27" w:rsidR="00E8159E" w:rsidRDefault="00E87FC3">
    <w:pPr>
      <w:pStyle w:val="Piedepgina"/>
    </w:pPr>
    <w:r>
      <w:rPr>
        <w:lang w:val="es-ES"/>
      </w:rPr>
      <w:t xml:space="preserve">                   Página </w:t>
    </w:r>
    <w:r>
      <w:rPr>
        <w:b/>
        <w:bCs/>
      </w:rPr>
      <w:fldChar w:fldCharType="begin"/>
    </w:r>
    <w:r>
      <w:rPr>
        <w:b/>
        <w:bCs/>
      </w:rPr>
      <w:instrText>PAGE  \* Arabic  \* MERGEFORMAT</w:instrText>
    </w:r>
    <w:r>
      <w:rPr>
        <w:b/>
        <w:bCs/>
      </w:rPr>
      <w:fldChar w:fldCharType="separate"/>
    </w:r>
    <w:r w:rsidR="0088368E" w:rsidRPr="0088368E">
      <w:rPr>
        <w:b/>
        <w:bCs/>
        <w:noProof/>
        <w:lang w:val="es-ES"/>
      </w:rPr>
      <w:t>7</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88368E" w:rsidRPr="0088368E">
      <w:rPr>
        <w:b/>
        <w:bCs/>
        <w:noProof/>
        <w:lang w:val="es-ES"/>
      </w:rPr>
      <w:t>7</w:t>
    </w:r>
    <w:r>
      <w:rPr>
        <w:b/>
        <w:bCs/>
      </w:rPr>
      <w:fldChar w:fldCharType="end"/>
    </w:r>
    <w:r w:rsidR="000F12D9">
      <w:rPr>
        <w:noProof/>
        <w:lang w:val="es-MX" w:eastAsia="es-MX"/>
      </w:rPr>
      <w:drawing>
        <wp:anchor distT="0" distB="0" distL="114300" distR="114300" simplePos="0" relativeHeight="251658752" behindDoc="1" locked="0" layoutInCell="1" allowOverlap="1" wp14:anchorId="610C113B" wp14:editId="3FE927A0">
          <wp:simplePos x="0" y="0"/>
          <wp:positionH relativeFrom="column">
            <wp:posOffset>-719455</wp:posOffset>
          </wp:positionH>
          <wp:positionV relativeFrom="page">
            <wp:posOffset>8959850</wp:posOffset>
          </wp:positionV>
          <wp:extent cx="7771764" cy="111547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1.png"/>
                  <pic:cNvPicPr/>
                </pic:nvPicPr>
                <pic:blipFill>
                  <a:blip r:embed="rId1">
                    <a:extLst>
                      <a:ext uri="{28A0092B-C50C-407E-A947-70E740481C1C}">
                        <a14:useLocalDpi xmlns:a14="http://schemas.microsoft.com/office/drawing/2010/main" val="0"/>
                      </a:ext>
                    </a:extLst>
                  </a:blip>
                  <a:stretch>
                    <a:fillRect/>
                  </a:stretch>
                </pic:blipFill>
                <pic:spPr>
                  <a:xfrm>
                    <a:off x="0" y="0"/>
                    <a:ext cx="7771764" cy="11154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7EC4" w14:textId="77777777" w:rsidR="00E002D1" w:rsidRDefault="00E002D1" w:rsidP="00E002D1">
      <w:r>
        <w:separator/>
      </w:r>
    </w:p>
  </w:footnote>
  <w:footnote w:type="continuationSeparator" w:id="0">
    <w:p w14:paraId="7E55281D" w14:textId="77777777" w:rsidR="00E002D1" w:rsidRDefault="00E002D1" w:rsidP="00E0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3AD0" w14:textId="77777777" w:rsidR="00E87FC3" w:rsidRPr="002F20A1" w:rsidRDefault="00E87FC3" w:rsidP="00115446">
    <w:pPr>
      <w:pStyle w:val="Encabezado"/>
      <w:jc w:val="center"/>
      <w:rPr>
        <w:color w:val="808080" w:themeColor="background1" w:themeShade="80"/>
        <w:lang w:val="es-MX"/>
      </w:rPr>
    </w:pPr>
    <w:r w:rsidRPr="002F20A1">
      <w:rPr>
        <w:color w:val="808080" w:themeColor="background1" w:themeShade="80"/>
        <w:lang w:val="es-MX"/>
      </w:rPr>
      <w:t>Evaluación y actualización 2018 del Plan Institucional del IIEG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7983" w14:textId="77777777" w:rsidR="00E87FC3" w:rsidRPr="002F20A1" w:rsidRDefault="00E87FC3" w:rsidP="00E87FC3">
    <w:pPr>
      <w:pStyle w:val="Encabezado"/>
      <w:jc w:val="center"/>
      <w:rPr>
        <w:color w:val="808080" w:themeColor="background1" w:themeShade="80"/>
        <w:lang w:val="es-MX"/>
      </w:rPr>
    </w:pPr>
    <w:r w:rsidRPr="002F20A1">
      <w:rPr>
        <w:color w:val="808080" w:themeColor="background1" w:themeShade="80"/>
        <w:lang w:val="es-MX"/>
      </w:rPr>
      <w:t>Evaluación y actualización 2018 del Plan Institucional del IIEG</w:t>
    </w:r>
  </w:p>
  <w:p w14:paraId="6A9B4F23" w14:textId="5BE25212" w:rsidR="00E002D1" w:rsidRDefault="001A1EF5" w:rsidP="00A72310">
    <w:pPr>
      <w:pStyle w:val="Encabezado"/>
      <w:tabs>
        <w:tab w:val="clear" w:pos="4320"/>
        <w:tab w:val="clear" w:pos="8640"/>
        <w:tab w:val="left" w:pos="960"/>
      </w:tabs>
    </w:pPr>
    <w:r>
      <w:rPr>
        <w:noProof/>
        <w:lang w:val="es-MX" w:eastAsia="es-MX"/>
      </w:rPr>
      <w:drawing>
        <wp:anchor distT="0" distB="0" distL="114300" distR="114300" simplePos="0" relativeHeight="251658240" behindDoc="1" locked="0" layoutInCell="1" allowOverlap="1" wp14:anchorId="1E1BD465" wp14:editId="46924B6C">
          <wp:simplePos x="0" y="0"/>
          <wp:positionH relativeFrom="column">
            <wp:posOffset>-719455</wp:posOffset>
          </wp:positionH>
          <wp:positionV relativeFrom="page">
            <wp:posOffset>47625</wp:posOffset>
          </wp:positionV>
          <wp:extent cx="7771764" cy="1316628"/>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1.png"/>
                  <pic:cNvPicPr/>
                </pic:nvPicPr>
                <pic:blipFill>
                  <a:blip r:embed="rId1">
                    <a:extLst>
                      <a:ext uri="{28A0092B-C50C-407E-A947-70E740481C1C}">
                        <a14:useLocalDpi xmlns:a14="http://schemas.microsoft.com/office/drawing/2010/main" val="0"/>
                      </a:ext>
                    </a:extLst>
                  </a:blip>
                  <a:stretch>
                    <a:fillRect/>
                  </a:stretch>
                </pic:blipFill>
                <pic:spPr>
                  <a:xfrm>
                    <a:off x="0" y="0"/>
                    <a:ext cx="7771764" cy="131662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7231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77DFC"/>
    <w:multiLevelType w:val="hybridMultilevel"/>
    <w:tmpl w:val="253855F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D1"/>
    <w:rsid w:val="000F12D9"/>
    <w:rsid w:val="001A1EF5"/>
    <w:rsid w:val="002A2FAF"/>
    <w:rsid w:val="0050666E"/>
    <w:rsid w:val="00513326"/>
    <w:rsid w:val="00551E0E"/>
    <w:rsid w:val="005C02AC"/>
    <w:rsid w:val="005C5F7E"/>
    <w:rsid w:val="006F5AE6"/>
    <w:rsid w:val="00736A1F"/>
    <w:rsid w:val="0088368E"/>
    <w:rsid w:val="00A72310"/>
    <w:rsid w:val="00AA7B07"/>
    <w:rsid w:val="00C64457"/>
    <w:rsid w:val="00CE61DD"/>
    <w:rsid w:val="00DF2B9D"/>
    <w:rsid w:val="00E002D1"/>
    <w:rsid w:val="00E71DFF"/>
    <w:rsid w:val="00E8159E"/>
    <w:rsid w:val="00E87FC3"/>
    <w:rsid w:val="00E94D58"/>
    <w:rsid w:val="00EC3FB0"/>
    <w:rsid w:val="00ED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E6FBC"/>
  <w14:defaultImageDpi w14:val="300"/>
  <w15:docId w15:val="{EA2CA277-0EF4-4292-8877-91E994B1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2D1"/>
    <w:pPr>
      <w:tabs>
        <w:tab w:val="center" w:pos="4320"/>
        <w:tab w:val="right" w:pos="8640"/>
      </w:tabs>
    </w:pPr>
  </w:style>
  <w:style w:type="character" w:customStyle="1" w:styleId="EncabezadoCar">
    <w:name w:val="Encabezado Car"/>
    <w:basedOn w:val="Fuentedeprrafopredeter"/>
    <w:link w:val="Encabezado"/>
    <w:uiPriority w:val="99"/>
    <w:rsid w:val="00E002D1"/>
    <w:rPr>
      <w:lang w:val="es-ES_tradnl"/>
    </w:rPr>
  </w:style>
  <w:style w:type="paragraph" w:styleId="Piedepgina">
    <w:name w:val="footer"/>
    <w:basedOn w:val="Normal"/>
    <w:link w:val="PiedepginaCar"/>
    <w:uiPriority w:val="99"/>
    <w:unhideWhenUsed/>
    <w:rsid w:val="00E002D1"/>
    <w:pPr>
      <w:tabs>
        <w:tab w:val="center" w:pos="4320"/>
        <w:tab w:val="right" w:pos="8640"/>
      </w:tabs>
    </w:pPr>
  </w:style>
  <w:style w:type="character" w:customStyle="1" w:styleId="PiedepginaCar">
    <w:name w:val="Pie de página Car"/>
    <w:basedOn w:val="Fuentedeprrafopredeter"/>
    <w:link w:val="Piedepgina"/>
    <w:uiPriority w:val="99"/>
    <w:rsid w:val="00E002D1"/>
    <w:rPr>
      <w:lang w:val="es-ES_tradnl"/>
    </w:rPr>
  </w:style>
  <w:style w:type="paragraph" w:styleId="Textodeglobo">
    <w:name w:val="Balloon Text"/>
    <w:basedOn w:val="Normal"/>
    <w:link w:val="TextodegloboCar"/>
    <w:uiPriority w:val="99"/>
    <w:semiHidden/>
    <w:unhideWhenUsed/>
    <w:rsid w:val="00E002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02D1"/>
    <w:rPr>
      <w:rFonts w:ascii="Lucida Grande" w:hAnsi="Lucida Grande" w:cs="Lucida Grande"/>
      <w:sz w:val="18"/>
      <w:szCs w:val="18"/>
      <w:lang w:val="es-ES_tradnl"/>
    </w:rPr>
  </w:style>
  <w:style w:type="paragraph" w:styleId="Prrafodelista">
    <w:name w:val="List Paragraph"/>
    <w:basedOn w:val="Normal"/>
    <w:uiPriority w:val="34"/>
    <w:qFormat/>
    <w:rsid w:val="00E87FC3"/>
    <w:pPr>
      <w:spacing w:after="200" w:line="276" w:lineRule="auto"/>
      <w:ind w:left="720"/>
      <w:contextualSpacing/>
    </w:pPr>
    <w:rPr>
      <w:sz w:val="22"/>
      <w:szCs w:val="22"/>
      <w:lang w:val="es-MX" w:eastAsia="es-MX"/>
    </w:rPr>
  </w:style>
  <w:style w:type="table" w:styleId="Tablaconcuadrcula">
    <w:name w:val="Table Grid"/>
    <w:basedOn w:val="Tablanormal"/>
    <w:uiPriority w:val="39"/>
    <w:rsid w:val="00E87FC3"/>
    <w:rPr>
      <w:rFonts w:eastAsia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2383</Words>
  <Characters>13108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SMachuca</cp:lastModifiedBy>
  <cp:revision>3</cp:revision>
  <cp:lastPrinted>2018-03-14T19:33:00Z</cp:lastPrinted>
  <dcterms:created xsi:type="dcterms:W3CDTF">2018-03-14T19:29:00Z</dcterms:created>
  <dcterms:modified xsi:type="dcterms:W3CDTF">2018-03-14T20:11:00Z</dcterms:modified>
</cp:coreProperties>
</file>