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13" w:rsidRPr="00864C6F" w:rsidRDefault="00864C6F" w:rsidP="00864C6F">
      <w:pPr>
        <w:pStyle w:val="Sinespaciado"/>
        <w:jc w:val="both"/>
        <w:rPr>
          <w:rFonts w:ascii="Arial" w:hAnsi="Arial" w:cs="Arial"/>
          <w:b/>
          <w:sz w:val="24"/>
          <w:szCs w:val="24"/>
        </w:rPr>
      </w:pPr>
      <w:r w:rsidRPr="00864C6F">
        <w:rPr>
          <w:rFonts w:ascii="Arial" w:hAnsi="Arial" w:cs="Arial"/>
          <w:b/>
          <w:sz w:val="24"/>
          <w:szCs w:val="24"/>
        </w:rPr>
        <w:t>20ª REUNIÓN DE LA COMISIÓN CONSULTIVA DE ENLACE CON LA ENTIDADES FEDERATIVAS</w:t>
      </w:r>
    </w:p>
    <w:p w:rsidR="00864C6F" w:rsidRPr="00864C6F" w:rsidRDefault="00864C6F" w:rsidP="00864C6F">
      <w:pPr>
        <w:pStyle w:val="Sinespaciado"/>
        <w:jc w:val="both"/>
        <w:rPr>
          <w:rFonts w:ascii="Arial" w:hAnsi="Arial" w:cs="Arial"/>
          <w:b/>
          <w:sz w:val="24"/>
          <w:szCs w:val="24"/>
        </w:rPr>
      </w:pPr>
    </w:p>
    <w:p w:rsidR="00893E13" w:rsidRDefault="00893E13" w:rsidP="00864C6F">
      <w:pPr>
        <w:jc w:val="both"/>
        <w:rPr>
          <w:rFonts w:ascii="Arial" w:hAnsi="Arial" w:cs="Arial"/>
        </w:rPr>
      </w:pPr>
      <w:r w:rsidRPr="00864C6F">
        <w:rPr>
          <w:rFonts w:ascii="Arial" w:hAnsi="Arial" w:cs="Arial"/>
        </w:rPr>
        <w:t>Del 22 al 24 de abril el Instituto de Información Estadística y Geográfica de Jalisco en su calidad de organismo equivalente en temas de población  participó en la las actividades de la Comisión Consultiva de Enlace con las Entidades Federativas organizada por el Consejo Nacional de Población.</w:t>
      </w:r>
    </w:p>
    <w:p w:rsidR="00864C6F" w:rsidRPr="00864C6F" w:rsidRDefault="00864C6F" w:rsidP="00864C6F">
      <w:pPr>
        <w:jc w:val="both"/>
        <w:rPr>
          <w:rFonts w:ascii="Arial" w:hAnsi="Arial" w:cs="Arial"/>
        </w:rPr>
      </w:pPr>
    </w:p>
    <w:p w:rsidR="00893E13" w:rsidRDefault="00893E13" w:rsidP="00864C6F">
      <w:pPr>
        <w:jc w:val="both"/>
        <w:rPr>
          <w:rFonts w:ascii="Arial" w:hAnsi="Arial" w:cs="Arial"/>
        </w:rPr>
      </w:pPr>
      <w:r w:rsidRPr="00864C6F">
        <w:rPr>
          <w:rFonts w:ascii="Arial" w:hAnsi="Arial" w:cs="Arial"/>
        </w:rPr>
        <w:t xml:space="preserve">La reunión se llevó a cabo en </w:t>
      </w:r>
      <w:proofErr w:type="spellStart"/>
      <w:r w:rsidRPr="00864C6F">
        <w:rPr>
          <w:rFonts w:ascii="Arial" w:hAnsi="Arial" w:cs="Arial"/>
        </w:rPr>
        <w:t>Atlihuetzia</w:t>
      </w:r>
      <w:proofErr w:type="spellEnd"/>
      <w:r w:rsidRPr="00864C6F">
        <w:rPr>
          <w:rFonts w:ascii="Arial" w:hAnsi="Arial" w:cs="Arial"/>
        </w:rPr>
        <w:t>, Tlaxcala con la participación de los consejos estatales de población y organismos equivalentes de 24 entidades federativas y   la presencia de la</w:t>
      </w:r>
      <w:r w:rsidR="00864C6F">
        <w:rPr>
          <w:rFonts w:ascii="Arial" w:hAnsi="Arial" w:cs="Arial"/>
        </w:rPr>
        <w:t xml:space="preserve"> secretaría general del CONAPO.</w:t>
      </w:r>
    </w:p>
    <w:p w:rsidR="00864C6F" w:rsidRPr="00864C6F" w:rsidRDefault="00864C6F" w:rsidP="00864C6F">
      <w:pPr>
        <w:jc w:val="both"/>
        <w:rPr>
          <w:rFonts w:ascii="Arial" w:hAnsi="Arial" w:cs="Arial"/>
        </w:rPr>
      </w:pPr>
    </w:p>
    <w:p w:rsidR="00893E13" w:rsidRDefault="00893E13" w:rsidP="00864C6F">
      <w:pPr>
        <w:jc w:val="both"/>
        <w:rPr>
          <w:rFonts w:ascii="Arial" w:hAnsi="Arial" w:cs="Arial"/>
        </w:rPr>
      </w:pPr>
      <w:r w:rsidRPr="00864C6F">
        <w:rPr>
          <w:rFonts w:ascii="Arial" w:hAnsi="Arial" w:cs="Arial"/>
        </w:rPr>
        <w:t>Participaron también representantes de:</w:t>
      </w:r>
    </w:p>
    <w:p w:rsidR="00864C6F" w:rsidRPr="00864C6F" w:rsidRDefault="00864C6F" w:rsidP="00864C6F">
      <w:pPr>
        <w:jc w:val="both"/>
        <w:rPr>
          <w:rFonts w:ascii="Arial" w:hAnsi="Arial" w:cs="Arial"/>
        </w:rPr>
      </w:pPr>
    </w:p>
    <w:p w:rsidR="00893E13" w:rsidRPr="00864C6F" w:rsidRDefault="00893E13" w:rsidP="00864C6F">
      <w:pPr>
        <w:pStyle w:val="Prrafodelista"/>
        <w:numPr>
          <w:ilvl w:val="0"/>
          <w:numId w:val="4"/>
        </w:numPr>
        <w:jc w:val="both"/>
        <w:rPr>
          <w:rFonts w:ascii="Arial" w:hAnsi="Arial" w:cs="Arial"/>
        </w:rPr>
      </w:pPr>
      <w:r w:rsidRPr="00864C6F">
        <w:rPr>
          <w:rFonts w:ascii="Arial" w:hAnsi="Arial" w:cs="Arial"/>
        </w:rPr>
        <w:t>La Oficina de Presidencia de la República.</w:t>
      </w:r>
    </w:p>
    <w:p w:rsidR="00893E13" w:rsidRPr="00864C6F" w:rsidRDefault="00893E13" w:rsidP="00864C6F">
      <w:pPr>
        <w:pStyle w:val="Prrafodelista"/>
        <w:numPr>
          <w:ilvl w:val="0"/>
          <w:numId w:val="4"/>
        </w:numPr>
        <w:jc w:val="both"/>
        <w:rPr>
          <w:rFonts w:ascii="Arial" w:hAnsi="Arial" w:cs="Arial"/>
        </w:rPr>
      </w:pPr>
      <w:r w:rsidRPr="00864C6F">
        <w:rPr>
          <w:rFonts w:ascii="Arial" w:hAnsi="Arial" w:cs="Arial"/>
        </w:rPr>
        <w:t>El Centro de Investigación Social Avanzada / CISAV</w:t>
      </w:r>
    </w:p>
    <w:p w:rsidR="00893E13" w:rsidRPr="00864C6F" w:rsidRDefault="00893E13" w:rsidP="00864C6F">
      <w:pPr>
        <w:pStyle w:val="Prrafodelista"/>
        <w:numPr>
          <w:ilvl w:val="0"/>
          <w:numId w:val="4"/>
        </w:numPr>
        <w:jc w:val="both"/>
        <w:rPr>
          <w:rFonts w:ascii="Arial" w:hAnsi="Arial" w:cs="Arial"/>
        </w:rPr>
      </w:pPr>
      <w:r w:rsidRPr="00864C6F">
        <w:rPr>
          <w:rFonts w:ascii="Arial" w:hAnsi="Arial" w:cs="Arial"/>
        </w:rPr>
        <w:t>El Colegio de México.</w:t>
      </w:r>
    </w:p>
    <w:p w:rsidR="00893E13" w:rsidRPr="00864C6F" w:rsidRDefault="00893E13" w:rsidP="00864C6F">
      <w:pPr>
        <w:pStyle w:val="Prrafodelista"/>
        <w:numPr>
          <w:ilvl w:val="0"/>
          <w:numId w:val="4"/>
        </w:numPr>
        <w:jc w:val="both"/>
        <w:rPr>
          <w:rFonts w:ascii="Arial" w:hAnsi="Arial" w:cs="Arial"/>
        </w:rPr>
      </w:pPr>
      <w:r w:rsidRPr="00864C6F">
        <w:rPr>
          <w:rFonts w:ascii="Arial" w:hAnsi="Arial" w:cs="Arial"/>
        </w:rPr>
        <w:t>CONACYT.</w:t>
      </w:r>
    </w:p>
    <w:p w:rsidR="00893E13" w:rsidRPr="00864C6F" w:rsidRDefault="00893E13" w:rsidP="00864C6F">
      <w:pPr>
        <w:pStyle w:val="Prrafodelista"/>
        <w:numPr>
          <w:ilvl w:val="0"/>
          <w:numId w:val="4"/>
        </w:numPr>
        <w:jc w:val="both"/>
        <w:rPr>
          <w:rFonts w:ascii="Arial" w:hAnsi="Arial" w:cs="Arial"/>
        </w:rPr>
      </w:pPr>
      <w:r w:rsidRPr="00864C6F">
        <w:rPr>
          <w:rFonts w:ascii="Arial" w:hAnsi="Arial" w:cs="Arial"/>
        </w:rPr>
        <w:t>El Colegio Mexiquense.</w:t>
      </w:r>
    </w:p>
    <w:p w:rsidR="00893E13" w:rsidRPr="00864C6F" w:rsidRDefault="00893E13" w:rsidP="00864C6F">
      <w:pPr>
        <w:pStyle w:val="Prrafodelista"/>
        <w:numPr>
          <w:ilvl w:val="0"/>
          <w:numId w:val="4"/>
        </w:numPr>
        <w:jc w:val="both"/>
        <w:rPr>
          <w:rFonts w:ascii="Arial" w:hAnsi="Arial" w:cs="Arial"/>
        </w:rPr>
      </w:pPr>
      <w:r w:rsidRPr="00864C6F">
        <w:rPr>
          <w:rFonts w:ascii="Arial" w:hAnsi="Arial" w:cs="Arial"/>
        </w:rPr>
        <w:t>Instituto Tecnológico y de Estudios superiores de Monterrey Campus Ciudad de México.</w:t>
      </w:r>
    </w:p>
    <w:p w:rsidR="00893E13" w:rsidRPr="00864C6F" w:rsidRDefault="00893E13" w:rsidP="00864C6F">
      <w:pPr>
        <w:pStyle w:val="Prrafodelista"/>
        <w:ind w:left="0"/>
        <w:jc w:val="both"/>
        <w:rPr>
          <w:rFonts w:ascii="Arial" w:hAnsi="Arial" w:cs="Arial"/>
        </w:rPr>
      </w:pPr>
    </w:p>
    <w:p w:rsidR="00893E13" w:rsidRPr="00864C6F" w:rsidRDefault="00893E13" w:rsidP="00864C6F">
      <w:pPr>
        <w:jc w:val="both"/>
        <w:rPr>
          <w:rFonts w:ascii="Arial" w:hAnsi="Arial" w:cs="Arial"/>
        </w:rPr>
      </w:pPr>
      <w:r w:rsidRPr="00864C6F">
        <w:rPr>
          <w:rFonts w:ascii="Arial" w:hAnsi="Arial" w:cs="Arial"/>
        </w:rPr>
        <w:t>La reunión tuvo como objeto la promoción de previsiones, consideraciones y criterios demográficos para incorporar la diversidad y particularidad de las entidades federativas y sus municipios.</w:t>
      </w:r>
    </w:p>
    <w:p w:rsidR="00893E13" w:rsidRPr="00864C6F" w:rsidRDefault="00893E13" w:rsidP="00864C6F">
      <w:pPr>
        <w:jc w:val="both"/>
        <w:rPr>
          <w:rFonts w:ascii="Arial" w:hAnsi="Arial" w:cs="Arial"/>
        </w:rPr>
      </w:pPr>
    </w:p>
    <w:p w:rsidR="00893E13" w:rsidRPr="00864C6F" w:rsidRDefault="00893E13" w:rsidP="00864C6F">
      <w:pPr>
        <w:jc w:val="both"/>
        <w:rPr>
          <w:rFonts w:ascii="Arial" w:hAnsi="Arial" w:cs="Arial"/>
        </w:rPr>
      </w:pPr>
      <w:r w:rsidRPr="00864C6F">
        <w:rPr>
          <w:rFonts w:ascii="Arial" w:hAnsi="Arial" w:cs="Arial"/>
        </w:rPr>
        <w:t>Durante los trabajos se llevaron a cabo las siguientes actividades:</w:t>
      </w:r>
    </w:p>
    <w:p w:rsidR="00893E13" w:rsidRPr="00864C6F" w:rsidRDefault="00893E13" w:rsidP="00864C6F">
      <w:pPr>
        <w:jc w:val="both"/>
        <w:rPr>
          <w:rFonts w:ascii="Arial" w:hAnsi="Arial" w:cs="Arial"/>
          <w:b/>
        </w:rPr>
      </w:pPr>
    </w:p>
    <w:p w:rsidR="00893E13" w:rsidRDefault="00893E13" w:rsidP="00864C6F">
      <w:pPr>
        <w:jc w:val="both"/>
        <w:rPr>
          <w:rFonts w:ascii="Arial" w:hAnsi="Arial" w:cs="Arial"/>
          <w:b/>
        </w:rPr>
      </w:pPr>
      <w:r w:rsidRPr="00864C6F">
        <w:rPr>
          <w:rFonts w:ascii="Arial" w:hAnsi="Arial" w:cs="Arial"/>
          <w:b/>
        </w:rPr>
        <w:t>Presentación por parte del Lic. Gabriel Rivera Conde Castañeda de la Oficina de Presidencia de la Republica de los Informes de Avances de los Objetivos de Desarrollo del Milenio en la Entidades Federativas y la agenta Post 2015.</w:t>
      </w:r>
    </w:p>
    <w:p w:rsidR="00864C6F" w:rsidRPr="00864C6F" w:rsidRDefault="00864C6F" w:rsidP="00864C6F">
      <w:pPr>
        <w:jc w:val="both"/>
        <w:rPr>
          <w:rFonts w:ascii="Arial" w:hAnsi="Arial" w:cs="Arial"/>
          <w:b/>
        </w:rPr>
      </w:pPr>
    </w:p>
    <w:p w:rsidR="00893E13" w:rsidRPr="00864C6F" w:rsidRDefault="00893E13" w:rsidP="00864C6F">
      <w:pPr>
        <w:pStyle w:val="Sinespaciado"/>
        <w:jc w:val="both"/>
        <w:rPr>
          <w:rFonts w:ascii="Arial" w:hAnsi="Arial" w:cs="Arial"/>
          <w:sz w:val="24"/>
          <w:szCs w:val="24"/>
        </w:rPr>
      </w:pPr>
      <w:r w:rsidRPr="00864C6F">
        <w:rPr>
          <w:rFonts w:ascii="Arial" w:hAnsi="Arial" w:cs="Arial"/>
          <w:sz w:val="24"/>
          <w:szCs w:val="24"/>
        </w:rPr>
        <w:t>La Declaración del Milenio fue aprobada por 189 países y firmada por 147 jefes de estado y de gobierno en la Cumbre del Milenio de las Naciones Unidas celebrada en septiembre de 2000. Los Objetivos de desarrollo del Milenio (ODM), ocho ambiciosos objetivos que se intenta alcanzar para 2015, se basan directamente en las actividades y metas incluidas en la Declaración del Milenio.</w:t>
      </w:r>
    </w:p>
    <w:p w:rsidR="00893E13" w:rsidRPr="00864C6F" w:rsidRDefault="00893E13" w:rsidP="00864C6F">
      <w:pPr>
        <w:pStyle w:val="Sinespaciado"/>
        <w:jc w:val="both"/>
        <w:rPr>
          <w:rFonts w:ascii="Arial" w:hAnsi="Arial" w:cs="Arial"/>
          <w:sz w:val="24"/>
          <w:szCs w:val="24"/>
        </w:rPr>
      </w:pPr>
      <w:r w:rsidRPr="00864C6F">
        <w:rPr>
          <w:rFonts w:ascii="Arial" w:hAnsi="Arial" w:cs="Arial"/>
          <w:sz w:val="24"/>
          <w:szCs w:val="24"/>
        </w:rPr>
        <w:t>Los ODM se componen de 8 Objetivos y 21 metas cuantificables que se supervisan mediante 60 indicadores.</w:t>
      </w:r>
    </w:p>
    <w:p w:rsidR="00893E13" w:rsidRPr="00864C6F" w:rsidRDefault="00893E13" w:rsidP="00864C6F">
      <w:pPr>
        <w:pStyle w:val="Sinespaciado"/>
        <w:jc w:val="both"/>
        <w:rPr>
          <w:rFonts w:ascii="Arial" w:hAnsi="Arial" w:cs="Arial"/>
          <w:sz w:val="24"/>
          <w:szCs w:val="24"/>
        </w:rPr>
      </w:pPr>
    </w:p>
    <w:p w:rsidR="00893E13" w:rsidRPr="00864C6F" w:rsidRDefault="00893E13" w:rsidP="00864C6F">
      <w:pPr>
        <w:pStyle w:val="Sinespaciado"/>
        <w:jc w:val="both"/>
        <w:rPr>
          <w:rFonts w:ascii="Arial" w:hAnsi="Arial" w:cs="Arial"/>
          <w:sz w:val="24"/>
          <w:szCs w:val="24"/>
        </w:rPr>
      </w:pPr>
      <w:r w:rsidRPr="00864C6F">
        <w:rPr>
          <w:rFonts w:ascii="Arial" w:hAnsi="Arial" w:cs="Arial"/>
          <w:sz w:val="24"/>
          <w:szCs w:val="24"/>
        </w:rPr>
        <w:t>De los 51 indicadores aplicables a México el 75.4% de los indicadores alcanzaron la meta establecida, 11.8%  alcanzarán la meta en 2015 y  9.8%  presentan un progreso insuficiente.</w:t>
      </w:r>
    </w:p>
    <w:p w:rsidR="00893E13" w:rsidRPr="00864C6F" w:rsidRDefault="00893E13" w:rsidP="00864C6F">
      <w:pPr>
        <w:pStyle w:val="Sinespaciado"/>
        <w:jc w:val="both"/>
        <w:rPr>
          <w:rFonts w:ascii="Arial" w:hAnsi="Arial" w:cs="Arial"/>
          <w:sz w:val="24"/>
          <w:szCs w:val="24"/>
        </w:rPr>
      </w:pPr>
    </w:p>
    <w:p w:rsidR="00F8347F" w:rsidRPr="00864C6F" w:rsidRDefault="00893E13" w:rsidP="00864C6F">
      <w:pPr>
        <w:pStyle w:val="Sinespaciado"/>
        <w:jc w:val="both"/>
        <w:rPr>
          <w:rFonts w:ascii="Arial" w:hAnsi="Arial" w:cs="Arial"/>
          <w:sz w:val="24"/>
          <w:szCs w:val="24"/>
        </w:rPr>
      </w:pPr>
      <w:r w:rsidRPr="00864C6F">
        <w:rPr>
          <w:rFonts w:ascii="Arial" w:hAnsi="Arial" w:cs="Arial"/>
          <w:sz w:val="24"/>
          <w:szCs w:val="24"/>
        </w:rPr>
        <w:lastRenderedPageBreak/>
        <w:t>Jalisco participó en el análisis de los Objetivos de Desarrollo del Milenio, siendo el Instituto de Información Estadística y Geográfica el encargado de reportar 46 indicadores analizados.  El 69.6% alcanzaron  la meta y el 19.6% l</w:t>
      </w:r>
      <w:r w:rsidR="00C05291" w:rsidRPr="00864C6F">
        <w:rPr>
          <w:rFonts w:ascii="Arial" w:hAnsi="Arial" w:cs="Arial"/>
          <w:sz w:val="24"/>
          <w:szCs w:val="24"/>
        </w:rPr>
        <w:t>a alcanzaran en 2015. El 10.9% p</w:t>
      </w:r>
      <w:r w:rsidRPr="00864C6F">
        <w:rPr>
          <w:rFonts w:ascii="Arial" w:hAnsi="Arial" w:cs="Arial"/>
          <w:sz w:val="24"/>
          <w:szCs w:val="24"/>
        </w:rPr>
        <w:t>resenta un progreso Insuficiente.</w:t>
      </w:r>
    </w:p>
    <w:p w:rsidR="00893E13" w:rsidRPr="00864C6F" w:rsidRDefault="00893E13" w:rsidP="00864C6F">
      <w:pPr>
        <w:jc w:val="both"/>
        <w:rPr>
          <w:rFonts w:ascii="Arial" w:hAnsi="Arial" w:cs="Arial"/>
          <w:b/>
        </w:rPr>
      </w:pPr>
    </w:p>
    <w:p w:rsidR="00893E13" w:rsidRDefault="00893E13" w:rsidP="00864C6F">
      <w:pPr>
        <w:jc w:val="both"/>
        <w:rPr>
          <w:rFonts w:ascii="Arial" w:hAnsi="Arial" w:cs="Arial"/>
          <w:b/>
        </w:rPr>
      </w:pPr>
      <w:r w:rsidRPr="00864C6F">
        <w:rPr>
          <w:rFonts w:ascii="Arial" w:hAnsi="Arial" w:cs="Arial"/>
          <w:b/>
        </w:rPr>
        <w:t>Informe sobre La Estrategia Nacional para la Prevención del Embarazo Adolescente (ENAPEA).</w:t>
      </w:r>
    </w:p>
    <w:p w:rsidR="00864C6F" w:rsidRPr="00864C6F" w:rsidRDefault="00864C6F" w:rsidP="00864C6F">
      <w:pPr>
        <w:jc w:val="both"/>
        <w:rPr>
          <w:rFonts w:ascii="Arial" w:hAnsi="Arial" w:cs="Arial"/>
          <w:b/>
        </w:rPr>
      </w:pPr>
    </w:p>
    <w:p w:rsidR="00893E13" w:rsidRPr="00864C6F" w:rsidRDefault="00893E13" w:rsidP="00864C6F">
      <w:pPr>
        <w:jc w:val="both"/>
        <w:rPr>
          <w:rFonts w:ascii="Arial" w:hAnsi="Arial" w:cs="Arial"/>
        </w:rPr>
      </w:pPr>
      <w:r w:rsidRPr="00864C6F">
        <w:rPr>
          <w:rFonts w:ascii="Arial" w:hAnsi="Arial" w:cs="Arial"/>
        </w:rPr>
        <w:t xml:space="preserve">Presentación sobre La Estrategia Nacional para la Prevención del Embarazo Adolescente (ENAPEA) a cargo de la Dra. María de la Cruz </w:t>
      </w:r>
      <w:proofErr w:type="spellStart"/>
      <w:r w:rsidRPr="00864C6F">
        <w:rPr>
          <w:rFonts w:ascii="Arial" w:hAnsi="Arial" w:cs="Arial"/>
        </w:rPr>
        <w:t>Muradás</w:t>
      </w:r>
      <w:proofErr w:type="spellEnd"/>
      <w:r w:rsidRPr="00864C6F">
        <w:rPr>
          <w:rFonts w:ascii="Arial" w:hAnsi="Arial" w:cs="Arial"/>
        </w:rPr>
        <w:t xml:space="preserve"> </w:t>
      </w:r>
      <w:proofErr w:type="spellStart"/>
      <w:r w:rsidRPr="00864C6F">
        <w:rPr>
          <w:rFonts w:ascii="Arial" w:hAnsi="Arial" w:cs="Arial"/>
        </w:rPr>
        <w:t>Troitiño</w:t>
      </w:r>
      <w:proofErr w:type="spellEnd"/>
      <w:r w:rsidRPr="00864C6F">
        <w:rPr>
          <w:rFonts w:ascii="Arial" w:hAnsi="Arial" w:cs="Arial"/>
        </w:rPr>
        <w:t xml:space="preserve">, directora de análisis estadístico e informática del Consejo Nacional de Población. Está campaña se deriva del trabajo interdisciplinario en el que participaron académicos, especialistas, autoridades y </w:t>
      </w:r>
      <w:r w:rsidR="007502D0" w:rsidRPr="00864C6F">
        <w:rPr>
          <w:rFonts w:ascii="Arial" w:hAnsi="Arial" w:cs="Arial"/>
        </w:rPr>
        <w:t>r</w:t>
      </w:r>
      <w:r w:rsidRPr="00864C6F">
        <w:rPr>
          <w:rFonts w:ascii="Arial" w:hAnsi="Arial" w:cs="Arial"/>
        </w:rPr>
        <w:t>epresentantes de la sociedad civil. Incorpora experiencias internacionales y las mejores prácticas que se han implementado en nuestro país.</w:t>
      </w:r>
    </w:p>
    <w:p w:rsidR="00893E13" w:rsidRPr="00864C6F" w:rsidRDefault="00893E13" w:rsidP="00864C6F">
      <w:pPr>
        <w:jc w:val="both"/>
        <w:rPr>
          <w:rFonts w:ascii="Arial" w:hAnsi="Arial" w:cs="Arial"/>
        </w:rPr>
      </w:pPr>
      <w:r w:rsidRPr="00864C6F">
        <w:rPr>
          <w:rFonts w:ascii="Arial" w:hAnsi="Arial" w:cs="Arial"/>
        </w:rPr>
        <w:t>El  objetivo principal  es reducir en 50 por ciento la tasa de fecundidad de las adolescentes entre 15 a 19 años, para el año 2030 y erradicar embarazos en niñas de 14 años o menos.</w:t>
      </w:r>
    </w:p>
    <w:p w:rsidR="00893E13" w:rsidRPr="00864C6F" w:rsidRDefault="00893E13" w:rsidP="00864C6F">
      <w:pPr>
        <w:jc w:val="both"/>
        <w:rPr>
          <w:rFonts w:ascii="Arial" w:hAnsi="Arial" w:cs="Arial"/>
        </w:rPr>
      </w:pPr>
      <w:r w:rsidRPr="00864C6F">
        <w:rPr>
          <w:rFonts w:ascii="Arial" w:hAnsi="Arial" w:cs="Arial"/>
        </w:rPr>
        <w:t>El instituto de Información Estadística y Geográfica ha participado en la difusión de dicha campaña. Se informó a los asistentes que próximamente el Consejo Nacional de Población hará  una invitación a los gobernadores de los estados representados en la COCOEF para replicar le ENAPEA a nivel Entidad.</w:t>
      </w:r>
    </w:p>
    <w:p w:rsidR="00893E13" w:rsidRPr="00864C6F" w:rsidRDefault="00893E13" w:rsidP="00864C6F">
      <w:pPr>
        <w:jc w:val="both"/>
        <w:rPr>
          <w:rFonts w:ascii="Arial" w:hAnsi="Arial" w:cs="Arial"/>
        </w:rPr>
      </w:pPr>
    </w:p>
    <w:p w:rsidR="00893E13" w:rsidRDefault="00893E13" w:rsidP="00864C6F">
      <w:pPr>
        <w:jc w:val="both"/>
        <w:rPr>
          <w:rFonts w:ascii="Arial" w:hAnsi="Arial" w:cs="Arial"/>
          <w:b/>
        </w:rPr>
      </w:pPr>
      <w:r w:rsidRPr="00864C6F">
        <w:rPr>
          <w:rFonts w:ascii="Arial" w:hAnsi="Arial" w:cs="Arial"/>
          <w:b/>
        </w:rPr>
        <w:t>Presentación del Diagnóstico situacional de trata de personas y violencia contra niños en Querétaro  elaborado por el  Centro de Investigación Social Avanzada.</w:t>
      </w:r>
    </w:p>
    <w:p w:rsidR="00864C6F" w:rsidRPr="00864C6F" w:rsidRDefault="00864C6F" w:rsidP="00864C6F">
      <w:pPr>
        <w:jc w:val="both"/>
        <w:rPr>
          <w:rFonts w:ascii="Arial" w:hAnsi="Arial" w:cs="Arial"/>
        </w:rPr>
      </w:pPr>
    </w:p>
    <w:p w:rsidR="00893E13" w:rsidRPr="00864C6F" w:rsidRDefault="00893E13" w:rsidP="00864C6F">
      <w:pPr>
        <w:jc w:val="both"/>
        <w:rPr>
          <w:rFonts w:ascii="Arial" w:hAnsi="Arial" w:cs="Arial"/>
        </w:rPr>
      </w:pPr>
      <w:r w:rsidRPr="00864C6F">
        <w:rPr>
          <w:rFonts w:ascii="Arial" w:hAnsi="Arial" w:cs="Arial"/>
        </w:rPr>
        <w:t>La Mtra. Aracely Ornelas Duarte Presentó el Diagnóstico situacional de trata de personas y violencia contra niños en Querétaro  elaborado por el  Centro de Investigación Social Avanzada. Donde se invitó a los estados a generar una cultura de denuncia, fortalecer una educación y cultura basadas en los derechos humanos, elaborar políticas públicas a partir de estudios y diagnósticos,  producir campañas de prevención y colaborar, en todos los niveles de gobierno con distintas instituciones fuera y dentro del país.</w:t>
      </w:r>
    </w:p>
    <w:p w:rsidR="00893E13" w:rsidRPr="00864C6F" w:rsidRDefault="00893E13" w:rsidP="00864C6F">
      <w:pPr>
        <w:jc w:val="both"/>
        <w:rPr>
          <w:rFonts w:ascii="Arial" w:hAnsi="Arial" w:cs="Arial"/>
          <w:b/>
        </w:rPr>
      </w:pPr>
    </w:p>
    <w:p w:rsidR="00893E13" w:rsidRDefault="00893E13" w:rsidP="00864C6F">
      <w:pPr>
        <w:jc w:val="both"/>
        <w:rPr>
          <w:rFonts w:ascii="Arial" w:hAnsi="Arial" w:cs="Arial"/>
          <w:b/>
        </w:rPr>
      </w:pPr>
      <w:r w:rsidRPr="00864C6F">
        <w:rPr>
          <w:rFonts w:ascii="Arial" w:hAnsi="Arial" w:cs="Arial"/>
          <w:b/>
        </w:rPr>
        <w:t>Presentación del estudio  “Potencial de desarrollo de las ciudades de México”, elaborado en la dirección de poblamiento y desarrollo regional sustentable del Consejo Nacional de Población.</w:t>
      </w:r>
    </w:p>
    <w:p w:rsidR="00864C6F" w:rsidRPr="00864C6F" w:rsidRDefault="00864C6F" w:rsidP="00864C6F">
      <w:pPr>
        <w:jc w:val="both"/>
        <w:rPr>
          <w:rFonts w:ascii="Arial" w:hAnsi="Arial" w:cs="Arial"/>
          <w:b/>
        </w:rPr>
      </w:pPr>
    </w:p>
    <w:p w:rsidR="00893E13" w:rsidRDefault="00893E13" w:rsidP="00864C6F">
      <w:pPr>
        <w:jc w:val="both"/>
        <w:rPr>
          <w:rFonts w:ascii="Arial" w:hAnsi="Arial" w:cs="Arial"/>
        </w:rPr>
      </w:pPr>
      <w:r w:rsidRPr="00864C6F">
        <w:rPr>
          <w:rFonts w:ascii="Arial" w:hAnsi="Arial" w:cs="Arial"/>
        </w:rPr>
        <w:t xml:space="preserve">El Mtro. Raúl Romo </w:t>
      </w:r>
      <w:proofErr w:type="spellStart"/>
      <w:r w:rsidRPr="00864C6F">
        <w:rPr>
          <w:rFonts w:ascii="Arial" w:hAnsi="Arial" w:cs="Arial"/>
        </w:rPr>
        <w:t>Viramontes</w:t>
      </w:r>
      <w:proofErr w:type="spellEnd"/>
      <w:r w:rsidRPr="00864C6F">
        <w:rPr>
          <w:rFonts w:ascii="Arial" w:hAnsi="Arial" w:cs="Arial"/>
        </w:rPr>
        <w:t xml:space="preserve"> presentó el estudio elaborado en la dirección de poblamiento y desarrollo regional sustentable del Consejo Nacional de Población. El estudio utiliza un total  de 42 variables para generar 5 índices de:</w:t>
      </w:r>
    </w:p>
    <w:p w:rsidR="00864C6F" w:rsidRPr="00864C6F" w:rsidRDefault="00864C6F" w:rsidP="00864C6F">
      <w:pPr>
        <w:jc w:val="both"/>
        <w:rPr>
          <w:rFonts w:ascii="Arial" w:hAnsi="Arial" w:cs="Arial"/>
        </w:rPr>
      </w:pPr>
    </w:p>
    <w:p w:rsidR="00893E13" w:rsidRPr="00864C6F" w:rsidRDefault="00893E13" w:rsidP="00864C6F">
      <w:pPr>
        <w:jc w:val="both"/>
        <w:rPr>
          <w:rFonts w:ascii="Arial" w:hAnsi="Arial" w:cs="Arial"/>
        </w:rPr>
      </w:pPr>
      <w:r w:rsidRPr="00864C6F">
        <w:rPr>
          <w:rFonts w:ascii="Arial" w:hAnsi="Arial" w:cs="Arial"/>
        </w:rPr>
        <w:t>Índice de Productividad.</w:t>
      </w:r>
    </w:p>
    <w:p w:rsidR="00893E13" w:rsidRPr="00864C6F" w:rsidRDefault="00893E13" w:rsidP="00864C6F">
      <w:pPr>
        <w:jc w:val="both"/>
        <w:rPr>
          <w:rFonts w:ascii="Arial" w:hAnsi="Arial" w:cs="Arial"/>
        </w:rPr>
      </w:pPr>
      <w:r w:rsidRPr="00864C6F">
        <w:rPr>
          <w:rFonts w:ascii="Arial" w:hAnsi="Arial" w:cs="Arial"/>
        </w:rPr>
        <w:t>Índice de Equidad y oportunidad.</w:t>
      </w:r>
    </w:p>
    <w:p w:rsidR="00893E13" w:rsidRPr="00864C6F" w:rsidRDefault="00893E13" w:rsidP="00864C6F">
      <w:pPr>
        <w:jc w:val="both"/>
        <w:rPr>
          <w:rFonts w:ascii="Arial" w:hAnsi="Arial" w:cs="Arial"/>
        </w:rPr>
      </w:pPr>
      <w:r w:rsidRPr="00864C6F">
        <w:rPr>
          <w:rFonts w:ascii="Arial" w:hAnsi="Arial" w:cs="Arial"/>
        </w:rPr>
        <w:t>Índice de Gobierno.</w:t>
      </w:r>
    </w:p>
    <w:p w:rsidR="00893E13" w:rsidRPr="00864C6F" w:rsidRDefault="00893E13" w:rsidP="00864C6F">
      <w:pPr>
        <w:jc w:val="both"/>
        <w:rPr>
          <w:rFonts w:ascii="Arial" w:hAnsi="Arial" w:cs="Arial"/>
        </w:rPr>
      </w:pPr>
      <w:r w:rsidRPr="00864C6F">
        <w:rPr>
          <w:rFonts w:ascii="Arial" w:hAnsi="Arial" w:cs="Arial"/>
        </w:rPr>
        <w:t>Índice de Calidad de vida.</w:t>
      </w:r>
    </w:p>
    <w:p w:rsidR="00893E13" w:rsidRPr="00864C6F" w:rsidRDefault="00893E13" w:rsidP="00864C6F">
      <w:pPr>
        <w:jc w:val="both"/>
        <w:rPr>
          <w:rFonts w:ascii="Arial" w:hAnsi="Arial" w:cs="Arial"/>
        </w:rPr>
      </w:pPr>
      <w:r w:rsidRPr="00864C6F">
        <w:rPr>
          <w:rFonts w:ascii="Arial" w:hAnsi="Arial" w:cs="Arial"/>
        </w:rPr>
        <w:lastRenderedPageBreak/>
        <w:t>Índice de Sostenibilidad urbana.</w:t>
      </w:r>
    </w:p>
    <w:p w:rsidR="00893E13" w:rsidRPr="00864C6F" w:rsidRDefault="00893E13" w:rsidP="00864C6F">
      <w:pPr>
        <w:jc w:val="both"/>
        <w:rPr>
          <w:rFonts w:ascii="Arial" w:hAnsi="Arial" w:cs="Arial"/>
        </w:rPr>
      </w:pPr>
      <w:r w:rsidRPr="00864C6F">
        <w:rPr>
          <w:rFonts w:ascii="Arial" w:hAnsi="Arial" w:cs="Arial"/>
        </w:rPr>
        <w:t>A partir de ellos se genera un Índice de Potencial de Desarrollo.</w:t>
      </w:r>
    </w:p>
    <w:p w:rsidR="00893E13" w:rsidRPr="00864C6F" w:rsidRDefault="00893E13" w:rsidP="00864C6F">
      <w:pPr>
        <w:jc w:val="both"/>
        <w:rPr>
          <w:rFonts w:ascii="Arial" w:hAnsi="Arial" w:cs="Arial"/>
        </w:rPr>
      </w:pPr>
    </w:p>
    <w:p w:rsidR="00893E13" w:rsidRPr="00864C6F" w:rsidRDefault="00893E13" w:rsidP="00864C6F">
      <w:pPr>
        <w:jc w:val="both"/>
        <w:rPr>
          <w:rFonts w:ascii="Arial" w:hAnsi="Arial" w:cs="Arial"/>
        </w:rPr>
      </w:pPr>
      <w:r w:rsidRPr="00864C6F">
        <w:rPr>
          <w:rFonts w:ascii="Arial" w:hAnsi="Arial" w:cs="Arial"/>
        </w:rPr>
        <w:t xml:space="preserve">En este estudio se identifico a Guadalajara entre las 10 ciudades con </w:t>
      </w:r>
      <w:r w:rsidR="00C05291" w:rsidRPr="00864C6F">
        <w:rPr>
          <w:rFonts w:ascii="Arial" w:hAnsi="Arial" w:cs="Arial"/>
        </w:rPr>
        <w:t xml:space="preserve">los </w:t>
      </w:r>
      <w:r w:rsidRPr="00864C6F">
        <w:rPr>
          <w:rFonts w:ascii="Arial" w:hAnsi="Arial" w:cs="Arial"/>
        </w:rPr>
        <w:t>mayores índices de Gobierno, Calidad de Vida y Sostenibilidad Urbana</w:t>
      </w:r>
      <w:r w:rsidR="00F8347F" w:rsidRPr="00864C6F">
        <w:rPr>
          <w:rFonts w:ascii="Arial" w:hAnsi="Arial" w:cs="Arial"/>
        </w:rPr>
        <w:t>.</w:t>
      </w:r>
    </w:p>
    <w:p w:rsidR="00F8347F" w:rsidRPr="00864C6F" w:rsidRDefault="00F8347F" w:rsidP="00864C6F">
      <w:pPr>
        <w:jc w:val="both"/>
        <w:rPr>
          <w:rFonts w:ascii="Arial" w:hAnsi="Arial" w:cs="Arial"/>
        </w:rPr>
      </w:pPr>
    </w:p>
    <w:p w:rsidR="00F8347F" w:rsidRPr="00864C6F" w:rsidRDefault="00F8347F" w:rsidP="00864C6F">
      <w:pPr>
        <w:jc w:val="both"/>
        <w:rPr>
          <w:rFonts w:ascii="Arial" w:hAnsi="Arial" w:cs="Arial"/>
          <w:highlight w:val="yellow"/>
        </w:rPr>
      </w:pPr>
    </w:p>
    <w:p w:rsidR="00893E13" w:rsidRDefault="00893E13" w:rsidP="00864C6F">
      <w:pPr>
        <w:jc w:val="both"/>
        <w:rPr>
          <w:rFonts w:ascii="Arial" w:hAnsi="Arial" w:cs="Arial"/>
          <w:b/>
        </w:rPr>
      </w:pPr>
      <w:r w:rsidRPr="00864C6F">
        <w:rPr>
          <w:rFonts w:ascii="Arial" w:hAnsi="Arial" w:cs="Arial"/>
          <w:b/>
        </w:rPr>
        <w:t xml:space="preserve">Inicio de trabajos de la Encuesta para la Detección de oportunidades de Desarrollo de los Consejos Estatales de población y Organismos </w:t>
      </w:r>
    </w:p>
    <w:p w:rsidR="00864C6F" w:rsidRPr="00864C6F" w:rsidRDefault="00864C6F" w:rsidP="00864C6F">
      <w:pPr>
        <w:jc w:val="both"/>
        <w:rPr>
          <w:rFonts w:ascii="Arial" w:hAnsi="Arial" w:cs="Arial"/>
          <w:b/>
        </w:rPr>
      </w:pPr>
    </w:p>
    <w:p w:rsidR="00893E13" w:rsidRDefault="00893E13" w:rsidP="00864C6F">
      <w:pPr>
        <w:jc w:val="both"/>
        <w:rPr>
          <w:rFonts w:ascii="Arial" w:hAnsi="Arial" w:cs="Arial"/>
        </w:rPr>
      </w:pPr>
      <w:r w:rsidRPr="00864C6F">
        <w:rPr>
          <w:rFonts w:ascii="Arial" w:hAnsi="Arial" w:cs="Arial"/>
        </w:rPr>
        <w:t>La EDODEC se desarrolló por primera vez en 1995, con la finalidad de conocer la organización, estructura y cumplimiento de las principales funciones de las Secretarías Técnicas de los COESPO y organismos equivalentes.</w:t>
      </w:r>
    </w:p>
    <w:p w:rsidR="00864C6F" w:rsidRPr="00864C6F" w:rsidRDefault="00864C6F" w:rsidP="00864C6F">
      <w:pPr>
        <w:jc w:val="both"/>
        <w:rPr>
          <w:rFonts w:ascii="Arial" w:hAnsi="Arial" w:cs="Arial"/>
        </w:rPr>
      </w:pPr>
    </w:p>
    <w:p w:rsidR="00893E13" w:rsidRPr="00864C6F" w:rsidRDefault="00893E13" w:rsidP="00864C6F">
      <w:pPr>
        <w:jc w:val="both"/>
        <w:rPr>
          <w:rFonts w:ascii="Arial" w:hAnsi="Arial" w:cs="Arial"/>
        </w:rPr>
      </w:pPr>
      <w:r w:rsidRPr="00864C6F">
        <w:rPr>
          <w:rFonts w:ascii="Arial" w:hAnsi="Arial" w:cs="Arial"/>
        </w:rPr>
        <w:t>Las EDODEC han sido realizadas en 1995, 1996, 1999, 2000, 2004, 2006, 2008 y 2011.</w:t>
      </w:r>
    </w:p>
    <w:p w:rsidR="00893E13" w:rsidRDefault="00893E13" w:rsidP="00864C6F">
      <w:pPr>
        <w:jc w:val="both"/>
        <w:rPr>
          <w:rFonts w:ascii="Arial" w:hAnsi="Arial" w:cs="Arial"/>
        </w:rPr>
      </w:pPr>
      <w:r w:rsidRPr="00864C6F">
        <w:rPr>
          <w:rFonts w:ascii="Arial" w:hAnsi="Arial" w:cs="Arial"/>
        </w:rPr>
        <w:t>En 2009, derivado del análisis comparativo entre las EDODEC 2008 y 2006, se desarrolló el Plan Estratégico para las Secretarías Técnicas de los Consejos Estatales de Población 2008-2012, que buscó diagnosticar los avances o retrocesos en el desarrollo institucional de los COESPO y organismos equivalentes y desarrollar acciones para apoyar su desempeño.</w:t>
      </w:r>
    </w:p>
    <w:p w:rsidR="00864C6F" w:rsidRPr="00864C6F" w:rsidRDefault="00864C6F" w:rsidP="00864C6F">
      <w:pPr>
        <w:jc w:val="both"/>
        <w:rPr>
          <w:rFonts w:ascii="Arial" w:hAnsi="Arial" w:cs="Arial"/>
        </w:rPr>
      </w:pPr>
    </w:p>
    <w:p w:rsidR="00893E13" w:rsidRPr="00864C6F" w:rsidRDefault="00893E13" w:rsidP="00864C6F">
      <w:pPr>
        <w:jc w:val="both"/>
        <w:rPr>
          <w:rFonts w:ascii="Arial" w:hAnsi="Arial" w:cs="Arial"/>
        </w:rPr>
      </w:pPr>
      <w:r w:rsidRPr="00864C6F">
        <w:rPr>
          <w:rFonts w:ascii="Arial" w:hAnsi="Arial" w:cs="Arial"/>
        </w:rPr>
        <w:t>Este año, se propone realizar la EDODEC 2015 con el Objetivo de generar información de las Secretarías Técnicas o equivalentes que oriente a la Secretaría General del CONAPO en la definición de estrategias que mejoren la coordinación de actividades de apoyo institucional, asesoría, asistencia técnica y capacitación con el ánimo de fortalecer el federalismo en población, con respeto irrestricto a la soberanía de las entidades federativas.</w:t>
      </w:r>
      <w:r w:rsidR="00E01824">
        <w:rPr>
          <w:rFonts w:ascii="Arial" w:hAnsi="Arial" w:cs="Arial"/>
        </w:rPr>
        <w:t xml:space="preserve"> </w:t>
      </w:r>
      <w:r w:rsidRPr="00864C6F">
        <w:rPr>
          <w:rFonts w:ascii="Arial" w:hAnsi="Arial" w:cs="Arial"/>
        </w:rPr>
        <w:t>Los resultados serán presentados  en el mes de Octubre del presente año.</w:t>
      </w:r>
    </w:p>
    <w:p w:rsidR="00893E13" w:rsidRPr="00864C6F" w:rsidRDefault="00893E13" w:rsidP="00864C6F">
      <w:pPr>
        <w:jc w:val="both"/>
        <w:rPr>
          <w:rFonts w:ascii="Arial" w:hAnsi="Arial" w:cs="Arial"/>
          <w:highlight w:val="yellow"/>
        </w:rPr>
      </w:pPr>
    </w:p>
    <w:p w:rsidR="00893E13" w:rsidRDefault="00893E13" w:rsidP="00864C6F">
      <w:pPr>
        <w:jc w:val="both"/>
        <w:rPr>
          <w:rFonts w:ascii="Arial" w:hAnsi="Arial" w:cs="Arial"/>
          <w:b/>
        </w:rPr>
      </w:pPr>
      <w:r w:rsidRPr="00864C6F">
        <w:rPr>
          <w:rFonts w:ascii="Arial" w:hAnsi="Arial" w:cs="Arial"/>
          <w:b/>
        </w:rPr>
        <w:t>Presentación por parte del Consejo nacional de Ciencia y Tecnología de las Redes Temáticas de Información.</w:t>
      </w:r>
    </w:p>
    <w:p w:rsidR="00E01824" w:rsidRPr="00864C6F" w:rsidRDefault="00E01824" w:rsidP="00864C6F">
      <w:pPr>
        <w:jc w:val="both"/>
        <w:rPr>
          <w:rFonts w:ascii="Arial" w:hAnsi="Arial" w:cs="Arial"/>
          <w:b/>
        </w:rPr>
      </w:pPr>
    </w:p>
    <w:p w:rsidR="00893E13" w:rsidRDefault="00893E13" w:rsidP="00864C6F">
      <w:pPr>
        <w:jc w:val="both"/>
        <w:rPr>
          <w:rFonts w:ascii="Arial" w:hAnsi="Arial" w:cs="Arial"/>
        </w:rPr>
      </w:pPr>
      <w:r w:rsidRPr="00864C6F">
        <w:rPr>
          <w:rFonts w:ascii="Arial" w:hAnsi="Arial" w:cs="Arial"/>
        </w:rPr>
        <w:t xml:space="preserve">La Dra. </w:t>
      </w:r>
      <w:proofErr w:type="spellStart"/>
      <w:r w:rsidRPr="00864C6F">
        <w:rPr>
          <w:rFonts w:ascii="Arial" w:hAnsi="Arial" w:cs="Arial"/>
        </w:rPr>
        <w:t>Kalina</w:t>
      </w:r>
      <w:proofErr w:type="spellEnd"/>
      <w:r w:rsidRPr="00864C6F">
        <w:rPr>
          <w:rFonts w:ascii="Arial" w:hAnsi="Arial" w:cs="Arial"/>
        </w:rPr>
        <w:t xml:space="preserve"> Miranda </w:t>
      </w:r>
      <w:proofErr w:type="spellStart"/>
      <w:r w:rsidRPr="00864C6F">
        <w:rPr>
          <w:rFonts w:ascii="Arial" w:hAnsi="Arial" w:cs="Arial"/>
        </w:rPr>
        <w:t>Perkins</w:t>
      </w:r>
      <w:proofErr w:type="spellEnd"/>
      <w:r w:rsidRPr="00864C6F">
        <w:rPr>
          <w:rFonts w:ascii="Arial" w:hAnsi="Arial" w:cs="Arial"/>
        </w:rPr>
        <w:t xml:space="preserve">, Responsable del programa de redes temáticas de investigación del CONACYT presentó  información sobre este tema. </w:t>
      </w:r>
    </w:p>
    <w:p w:rsidR="00E01824" w:rsidRPr="00864C6F" w:rsidRDefault="00E01824" w:rsidP="00864C6F">
      <w:pPr>
        <w:jc w:val="both"/>
        <w:rPr>
          <w:rFonts w:ascii="Arial" w:hAnsi="Arial" w:cs="Arial"/>
        </w:rPr>
      </w:pPr>
    </w:p>
    <w:p w:rsidR="00893E13" w:rsidRDefault="00893E13" w:rsidP="00864C6F">
      <w:pPr>
        <w:jc w:val="both"/>
        <w:rPr>
          <w:rFonts w:ascii="Arial" w:hAnsi="Arial" w:cs="Arial"/>
        </w:rPr>
      </w:pPr>
      <w:r w:rsidRPr="00864C6F">
        <w:rPr>
          <w:rFonts w:ascii="Arial" w:hAnsi="Arial" w:cs="Arial"/>
        </w:rPr>
        <w:t xml:space="preserve">Una “Red Temática CONACYT”, es la asociación voluntaria de investigadores o personas en general con un interés común, dispuestas a colaborar y aportar sus conocimientos y habilidades, coordinadas de manera colegiada por un </w:t>
      </w:r>
      <w:r w:rsidR="00E01824">
        <w:rPr>
          <w:rFonts w:ascii="Arial" w:hAnsi="Arial" w:cs="Arial"/>
        </w:rPr>
        <w:t>Comité Técnico Académico (CTA).</w:t>
      </w:r>
    </w:p>
    <w:p w:rsidR="00E01824" w:rsidRPr="00864C6F" w:rsidRDefault="00E01824" w:rsidP="00864C6F">
      <w:pPr>
        <w:jc w:val="both"/>
        <w:rPr>
          <w:rFonts w:ascii="Arial" w:hAnsi="Arial" w:cs="Arial"/>
        </w:rPr>
      </w:pPr>
    </w:p>
    <w:p w:rsidR="00893E13" w:rsidRPr="00864C6F" w:rsidRDefault="00893E13" w:rsidP="00864C6F">
      <w:pPr>
        <w:jc w:val="both"/>
        <w:rPr>
          <w:rFonts w:ascii="Arial" w:hAnsi="Arial" w:cs="Arial"/>
        </w:rPr>
      </w:pPr>
      <w:r w:rsidRPr="00864C6F">
        <w:rPr>
          <w:rFonts w:ascii="Arial" w:hAnsi="Arial" w:cs="Arial"/>
        </w:rPr>
        <w:t xml:space="preserve">Elementos necesarios para el programa de Redes </w:t>
      </w:r>
    </w:p>
    <w:p w:rsidR="00893E13" w:rsidRPr="00864C6F" w:rsidRDefault="00893E13" w:rsidP="00864C6F">
      <w:pPr>
        <w:jc w:val="both"/>
        <w:rPr>
          <w:rFonts w:ascii="Arial" w:hAnsi="Arial" w:cs="Arial"/>
        </w:rPr>
      </w:pPr>
      <w:r w:rsidRPr="00864C6F">
        <w:rPr>
          <w:rFonts w:ascii="Arial" w:hAnsi="Arial" w:cs="Arial"/>
        </w:rPr>
        <w:t>Contar con los 3 componentes “Innovación-Social y Salud-Académico Científico”</w:t>
      </w:r>
    </w:p>
    <w:p w:rsidR="00893E13" w:rsidRPr="00864C6F" w:rsidRDefault="00893E13" w:rsidP="00864C6F">
      <w:pPr>
        <w:jc w:val="both"/>
        <w:rPr>
          <w:rFonts w:ascii="Arial" w:hAnsi="Arial" w:cs="Arial"/>
        </w:rPr>
      </w:pPr>
      <w:r w:rsidRPr="00864C6F">
        <w:rPr>
          <w:rFonts w:ascii="Arial" w:hAnsi="Arial" w:cs="Arial"/>
        </w:rPr>
        <w:t xml:space="preserve">Interactuar estrechamente con los actores de los problemas estratégicos </w:t>
      </w:r>
    </w:p>
    <w:p w:rsidR="00893E13" w:rsidRPr="00864C6F" w:rsidRDefault="00893E13" w:rsidP="00864C6F">
      <w:pPr>
        <w:jc w:val="both"/>
        <w:rPr>
          <w:rFonts w:ascii="Arial" w:hAnsi="Arial" w:cs="Arial"/>
        </w:rPr>
      </w:pPr>
      <w:r w:rsidRPr="00864C6F">
        <w:rPr>
          <w:rFonts w:ascii="Arial" w:hAnsi="Arial" w:cs="Arial"/>
        </w:rPr>
        <w:t>Disminuir las “islas de competencia” en el contexto académico-científico y provocar sinergia</w:t>
      </w:r>
    </w:p>
    <w:p w:rsidR="00893E13" w:rsidRPr="00864C6F" w:rsidRDefault="00893E13" w:rsidP="00864C6F">
      <w:pPr>
        <w:jc w:val="both"/>
        <w:rPr>
          <w:rFonts w:ascii="Arial" w:hAnsi="Arial" w:cs="Arial"/>
        </w:rPr>
      </w:pPr>
      <w:r w:rsidRPr="00864C6F">
        <w:rPr>
          <w:rFonts w:ascii="Arial" w:hAnsi="Arial" w:cs="Arial"/>
        </w:rPr>
        <w:t>Criterios de participación para ser y mantenerse como miembros: colaboración</w:t>
      </w:r>
    </w:p>
    <w:p w:rsidR="00893E13" w:rsidRPr="00864C6F" w:rsidRDefault="00893E13" w:rsidP="00864C6F">
      <w:pPr>
        <w:jc w:val="both"/>
        <w:rPr>
          <w:rFonts w:ascii="Arial" w:hAnsi="Arial" w:cs="Arial"/>
        </w:rPr>
      </w:pPr>
      <w:r w:rsidRPr="00864C6F">
        <w:rPr>
          <w:rFonts w:ascii="Arial" w:hAnsi="Arial" w:cs="Arial"/>
        </w:rPr>
        <w:t xml:space="preserve">Tipos de membresía: investigadores, estudiantes, externos </w:t>
      </w:r>
    </w:p>
    <w:p w:rsidR="00893E13" w:rsidRPr="00864C6F" w:rsidRDefault="00893E13" w:rsidP="00864C6F">
      <w:pPr>
        <w:jc w:val="both"/>
        <w:rPr>
          <w:rFonts w:ascii="Arial" w:hAnsi="Arial" w:cs="Arial"/>
        </w:rPr>
      </w:pPr>
      <w:r w:rsidRPr="00864C6F">
        <w:rPr>
          <w:rFonts w:ascii="Arial" w:hAnsi="Arial" w:cs="Arial"/>
        </w:rPr>
        <w:lastRenderedPageBreak/>
        <w:t>Los miembros se encuentran en todas las regiones económicas y científicas del país incorporadas a este proyecto.</w:t>
      </w:r>
    </w:p>
    <w:p w:rsidR="00C05291" w:rsidRPr="00864C6F" w:rsidRDefault="00C05291" w:rsidP="00864C6F">
      <w:pPr>
        <w:jc w:val="both"/>
        <w:rPr>
          <w:rFonts w:ascii="Arial" w:hAnsi="Arial" w:cs="Arial"/>
        </w:rPr>
      </w:pPr>
    </w:p>
    <w:p w:rsidR="00893E13" w:rsidRDefault="00893E13" w:rsidP="00864C6F">
      <w:pPr>
        <w:jc w:val="both"/>
        <w:rPr>
          <w:rFonts w:ascii="Arial" w:hAnsi="Arial" w:cs="Arial"/>
          <w:b/>
        </w:rPr>
      </w:pPr>
      <w:r w:rsidRPr="00864C6F">
        <w:rPr>
          <w:rFonts w:ascii="Arial" w:hAnsi="Arial" w:cs="Arial"/>
          <w:b/>
        </w:rPr>
        <w:t>Presentación del estudio Ciudades Sostenibles, Dr. Carlos garrocho, Colegio Mexiquense.</w:t>
      </w:r>
    </w:p>
    <w:p w:rsidR="00E01824" w:rsidRPr="00864C6F" w:rsidRDefault="00E01824" w:rsidP="00864C6F">
      <w:pPr>
        <w:jc w:val="both"/>
        <w:rPr>
          <w:rFonts w:ascii="Arial" w:hAnsi="Arial" w:cs="Arial"/>
          <w:b/>
        </w:rPr>
      </w:pPr>
    </w:p>
    <w:p w:rsidR="00893E13" w:rsidRDefault="00893E13" w:rsidP="00864C6F">
      <w:pPr>
        <w:jc w:val="both"/>
        <w:rPr>
          <w:rFonts w:ascii="Arial" w:hAnsi="Arial" w:cs="Arial"/>
        </w:rPr>
      </w:pPr>
      <w:r w:rsidRPr="00864C6F">
        <w:rPr>
          <w:rFonts w:ascii="Arial" w:hAnsi="Arial" w:cs="Arial"/>
        </w:rPr>
        <w:t>Presentación a cargo del Dr. Carlos Garrocho Rangel del Colegio Mexiquense, acerca de algunos temas clave para el Desarrollo sostenible de las Ciudades de México.</w:t>
      </w:r>
    </w:p>
    <w:p w:rsidR="00E01824" w:rsidRPr="00864C6F" w:rsidRDefault="00E01824" w:rsidP="00864C6F">
      <w:pPr>
        <w:jc w:val="both"/>
        <w:rPr>
          <w:rFonts w:ascii="Arial" w:hAnsi="Arial" w:cs="Arial"/>
        </w:rPr>
      </w:pPr>
    </w:p>
    <w:p w:rsidR="00893E13" w:rsidRPr="00864C6F" w:rsidRDefault="00893E13" w:rsidP="00864C6F">
      <w:pPr>
        <w:jc w:val="both"/>
        <w:rPr>
          <w:rFonts w:ascii="Arial" w:hAnsi="Arial" w:cs="Arial"/>
        </w:rPr>
      </w:pPr>
      <w:r w:rsidRPr="00864C6F">
        <w:rPr>
          <w:rFonts w:ascii="Arial" w:hAnsi="Arial" w:cs="Arial"/>
        </w:rPr>
        <w:t>Enfocado a la tendencia de la concentración de la población en las zonas urbanas y que analizó los temas que deben observarse para una correcta planeación y funcionamiento de las ciudades, partiendo de la premisa de que la mayoría de los problemas asociados a la urbanización acelerada no se derivan del crecimiento o de su escala, sino de la incapacidad de las instituciones locales, regionales y nacionales para gestionar los retos del crecimiento.</w:t>
      </w:r>
    </w:p>
    <w:p w:rsidR="00893E13" w:rsidRDefault="00893E13" w:rsidP="00864C6F">
      <w:pPr>
        <w:jc w:val="both"/>
        <w:rPr>
          <w:rFonts w:ascii="Arial" w:hAnsi="Arial" w:cs="Arial"/>
        </w:rPr>
      </w:pPr>
      <w:r w:rsidRPr="00864C6F">
        <w:rPr>
          <w:rFonts w:ascii="Arial" w:hAnsi="Arial" w:cs="Arial"/>
        </w:rPr>
        <w:t xml:space="preserve">Los 5 temas principales son: </w:t>
      </w:r>
    </w:p>
    <w:p w:rsidR="00E01824" w:rsidRPr="00864C6F" w:rsidRDefault="00E01824" w:rsidP="00864C6F">
      <w:pPr>
        <w:jc w:val="both"/>
        <w:rPr>
          <w:rFonts w:ascii="Arial" w:hAnsi="Arial" w:cs="Arial"/>
        </w:rPr>
      </w:pPr>
      <w:bookmarkStart w:id="0" w:name="_GoBack"/>
      <w:bookmarkEnd w:id="0"/>
    </w:p>
    <w:p w:rsidR="00B92FE8" w:rsidRPr="00864C6F" w:rsidRDefault="00B92FE8" w:rsidP="00864C6F">
      <w:pPr>
        <w:jc w:val="both"/>
        <w:rPr>
          <w:rFonts w:ascii="Arial" w:hAnsi="Arial" w:cs="Arial"/>
        </w:rPr>
      </w:pPr>
      <w:r w:rsidRPr="00864C6F">
        <w:rPr>
          <w:rFonts w:ascii="Arial" w:hAnsi="Arial" w:cs="Arial"/>
        </w:rPr>
        <w:t>-La comida.</w:t>
      </w:r>
    </w:p>
    <w:p w:rsidR="00B92FE8" w:rsidRPr="00864C6F" w:rsidRDefault="00B92FE8" w:rsidP="00864C6F">
      <w:pPr>
        <w:jc w:val="both"/>
        <w:rPr>
          <w:rFonts w:ascii="Arial" w:hAnsi="Arial" w:cs="Arial"/>
        </w:rPr>
      </w:pPr>
      <w:r w:rsidRPr="00864C6F">
        <w:rPr>
          <w:rFonts w:ascii="Arial" w:hAnsi="Arial" w:cs="Arial"/>
        </w:rPr>
        <w:t>-El Agua.</w:t>
      </w:r>
    </w:p>
    <w:p w:rsidR="00B92FE8" w:rsidRPr="00864C6F" w:rsidRDefault="00B92FE8" w:rsidP="00864C6F">
      <w:pPr>
        <w:jc w:val="both"/>
        <w:rPr>
          <w:rFonts w:ascii="Arial" w:hAnsi="Arial" w:cs="Arial"/>
        </w:rPr>
      </w:pPr>
      <w:r w:rsidRPr="00864C6F">
        <w:rPr>
          <w:rFonts w:ascii="Arial" w:hAnsi="Arial" w:cs="Arial"/>
        </w:rPr>
        <w:t>-Envejecimiento.</w:t>
      </w:r>
    </w:p>
    <w:p w:rsidR="00B92FE8" w:rsidRPr="00864C6F" w:rsidRDefault="00B92FE8" w:rsidP="00864C6F">
      <w:pPr>
        <w:jc w:val="both"/>
        <w:rPr>
          <w:rFonts w:ascii="Arial" w:hAnsi="Arial" w:cs="Arial"/>
        </w:rPr>
      </w:pPr>
      <w:r w:rsidRPr="00864C6F">
        <w:rPr>
          <w:rFonts w:ascii="Arial" w:hAnsi="Arial" w:cs="Arial"/>
        </w:rPr>
        <w:t>-La Movilidad.</w:t>
      </w:r>
    </w:p>
    <w:p w:rsidR="000E1D95" w:rsidRPr="00864C6F" w:rsidRDefault="00B92FE8" w:rsidP="00864C6F">
      <w:pPr>
        <w:jc w:val="both"/>
        <w:rPr>
          <w:rFonts w:ascii="Arial" w:hAnsi="Arial" w:cs="Arial"/>
        </w:rPr>
      </w:pPr>
      <w:r w:rsidRPr="00864C6F">
        <w:rPr>
          <w:rFonts w:ascii="Arial" w:hAnsi="Arial" w:cs="Arial"/>
        </w:rPr>
        <w:t>-Tecnologías de la Información</w:t>
      </w:r>
    </w:p>
    <w:sectPr w:rsidR="000E1D95" w:rsidRPr="00864C6F" w:rsidSect="0050666E">
      <w:headerReference w:type="default" r:id="rId8"/>
      <w:pgSz w:w="12240" w:h="15840"/>
      <w:pgMar w:top="2410"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69C" w:rsidRDefault="00EB169C" w:rsidP="00E002D1">
      <w:r>
        <w:separator/>
      </w:r>
    </w:p>
  </w:endnote>
  <w:endnote w:type="continuationSeparator" w:id="0">
    <w:p w:rsidR="00EB169C" w:rsidRDefault="00EB169C" w:rsidP="00E0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69C" w:rsidRDefault="00EB169C" w:rsidP="00E002D1">
      <w:r>
        <w:separator/>
      </w:r>
    </w:p>
  </w:footnote>
  <w:footnote w:type="continuationSeparator" w:id="0">
    <w:p w:rsidR="00EB169C" w:rsidRDefault="00EB169C" w:rsidP="00E00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2D1" w:rsidRDefault="001A1EF5">
    <w:pPr>
      <w:pStyle w:val="Encabezado"/>
    </w:pPr>
    <w:r>
      <w:rPr>
        <w:noProof/>
        <w:lang w:val="es-MX" w:eastAsia="es-MX"/>
      </w:rPr>
      <w:drawing>
        <wp:anchor distT="0" distB="0" distL="114300" distR="114300" simplePos="0" relativeHeight="251658240" behindDoc="1" locked="0" layoutInCell="1" allowOverlap="1">
          <wp:simplePos x="0" y="0"/>
          <wp:positionH relativeFrom="column">
            <wp:posOffset>-685800</wp:posOffset>
          </wp:positionH>
          <wp:positionV relativeFrom="page">
            <wp:posOffset>44451</wp:posOffset>
          </wp:positionV>
          <wp:extent cx="7771764" cy="10057576"/>
          <wp:effectExtent l="0" t="0" r="127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membretado word 1.png"/>
                  <pic:cNvPicPr/>
                </pic:nvPicPr>
                <pic:blipFill>
                  <a:blip r:embed="rId1">
                    <a:extLst>
                      <a:ext uri="{28A0092B-C50C-407E-A947-70E740481C1C}">
                        <a14:useLocalDpi xmlns:a14="http://schemas.microsoft.com/office/drawing/2010/main" val="0"/>
                      </a:ext>
                    </a:extLst>
                  </a:blip>
                  <a:stretch>
                    <a:fillRect/>
                  </a:stretch>
                </pic:blipFill>
                <pic:spPr>
                  <a:xfrm>
                    <a:off x="0" y="0"/>
                    <a:ext cx="7771764" cy="10057576"/>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A466F"/>
    <w:multiLevelType w:val="hybridMultilevel"/>
    <w:tmpl w:val="656EA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B7592F"/>
    <w:multiLevelType w:val="hybridMultilevel"/>
    <w:tmpl w:val="50B6D4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6B1374A2"/>
    <w:multiLevelType w:val="hybridMultilevel"/>
    <w:tmpl w:val="7BF01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EC35ABA"/>
    <w:multiLevelType w:val="hybridMultilevel"/>
    <w:tmpl w:val="47121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D1"/>
    <w:rsid w:val="00063CF2"/>
    <w:rsid w:val="00077C3B"/>
    <w:rsid w:val="000C06BB"/>
    <w:rsid w:val="000C4EEF"/>
    <w:rsid w:val="000E1D95"/>
    <w:rsid w:val="001A1EF5"/>
    <w:rsid w:val="0023262B"/>
    <w:rsid w:val="00250D35"/>
    <w:rsid w:val="00254530"/>
    <w:rsid w:val="002A2FAF"/>
    <w:rsid w:val="00315E49"/>
    <w:rsid w:val="003E03E8"/>
    <w:rsid w:val="0047557F"/>
    <w:rsid w:val="004A4180"/>
    <w:rsid w:val="004A59A5"/>
    <w:rsid w:val="004B2147"/>
    <w:rsid w:val="0050666E"/>
    <w:rsid w:val="00546612"/>
    <w:rsid w:val="00551E0E"/>
    <w:rsid w:val="00570407"/>
    <w:rsid w:val="005C02AC"/>
    <w:rsid w:val="00726483"/>
    <w:rsid w:val="00743B64"/>
    <w:rsid w:val="007502D0"/>
    <w:rsid w:val="007518F6"/>
    <w:rsid w:val="00755887"/>
    <w:rsid w:val="007917C9"/>
    <w:rsid w:val="008649AD"/>
    <w:rsid w:val="00864C6F"/>
    <w:rsid w:val="00893E13"/>
    <w:rsid w:val="009A47A6"/>
    <w:rsid w:val="00AE531B"/>
    <w:rsid w:val="00B0302E"/>
    <w:rsid w:val="00B75A77"/>
    <w:rsid w:val="00B92FE8"/>
    <w:rsid w:val="00C05291"/>
    <w:rsid w:val="00C12B11"/>
    <w:rsid w:val="00C869CA"/>
    <w:rsid w:val="00C91B3D"/>
    <w:rsid w:val="00C96ABA"/>
    <w:rsid w:val="00CA4EBE"/>
    <w:rsid w:val="00CE2B56"/>
    <w:rsid w:val="00CE61DD"/>
    <w:rsid w:val="00DA367E"/>
    <w:rsid w:val="00E002D1"/>
    <w:rsid w:val="00E01824"/>
    <w:rsid w:val="00E6783A"/>
    <w:rsid w:val="00E94D58"/>
    <w:rsid w:val="00EB169C"/>
    <w:rsid w:val="00EC3FB0"/>
    <w:rsid w:val="00F045A3"/>
    <w:rsid w:val="00F834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02D1"/>
    <w:pPr>
      <w:tabs>
        <w:tab w:val="center" w:pos="4320"/>
        <w:tab w:val="right" w:pos="8640"/>
      </w:tabs>
    </w:pPr>
  </w:style>
  <w:style w:type="character" w:customStyle="1" w:styleId="EncabezadoCar">
    <w:name w:val="Encabezado Car"/>
    <w:basedOn w:val="Fuentedeprrafopredeter"/>
    <w:link w:val="Encabezado"/>
    <w:uiPriority w:val="99"/>
    <w:rsid w:val="00E002D1"/>
    <w:rPr>
      <w:lang w:val="es-ES_tradnl"/>
    </w:rPr>
  </w:style>
  <w:style w:type="paragraph" w:styleId="Piedepgina">
    <w:name w:val="footer"/>
    <w:basedOn w:val="Normal"/>
    <w:link w:val="PiedepginaCar"/>
    <w:uiPriority w:val="99"/>
    <w:unhideWhenUsed/>
    <w:rsid w:val="00E002D1"/>
    <w:pPr>
      <w:tabs>
        <w:tab w:val="center" w:pos="4320"/>
        <w:tab w:val="right" w:pos="8640"/>
      </w:tabs>
    </w:pPr>
  </w:style>
  <w:style w:type="character" w:customStyle="1" w:styleId="PiedepginaCar">
    <w:name w:val="Pie de página Car"/>
    <w:basedOn w:val="Fuentedeprrafopredeter"/>
    <w:link w:val="Piedepgina"/>
    <w:uiPriority w:val="99"/>
    <w:rsid w:val="00E002D1"/>
    <w:rPr>
      <w:lang w:val="es-ES_tradnl"/>
    </w:rPr>
  </w:style>
  <w:style w:type="paragraph" w:styleId="Textodeglobo">
    <w:name w:val="Balloon Text"/>
    <w:basedOn w:val="Normal"/>
    <w:link w:val="TextodegloboCar"/>
    <w:uiPriority w:val="99"/>
    <w:semiHidden/>
    <w:unhideWhenUsed/>
    <w:rsid w:val="00E002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02D1"/>
    <w:rPr>
      <w:rFonts w:ascii="Lucida Grande" w:hAnsi="Lucida Grande" w:cs="Lucida Grande"/>
      <w:sz w:val="18"/>
      <w:szCs w:val="18"/>
      <w:lang w:val="es-ES_tradnl"/>
    </w:rPr>
  </w:style>
  <w:style w:type="paragraph" w:styleId="Sinespaciado">
    <w:name w:val="No Spacing"/>
    <w:uiPriority w:val="1"/>
    <w:qFormat/>
    <w:rsid w:val="007917C9"/>
    <w:rPr>
      <w:rFonts w:ascii="Calibri" w:eastAsia="Calibri" w:hAnsi="Calibri" w:cs="Times New Roman"/>
      <w:sz w:val="22"/>
      <w:szCs w:val="22"/>
      <w:lang w:val="es-MX"/>
    </w:rPr>
  </w:style>
  <w:style w:type="character" w:styleId="Hipervnculo">
    <w:name w:val="Hyperlink"/>
    <w:basedOn w:val="Fuentedeprrafopredeter"/>
    <w:uiPriority w:val="99"/>
    <w:unhideWhenUsed/>
    <w:rsid w:val="000E1D95"/>
    <w:rPr>
      <w:color w:val="0000FF" w:themeColor="hyperlink"/>
      <w:u w:val="single"/>
    </w:rPr>
  </w:style>
  <w:style w:type="paragraph" w:styleId="Prrafodelista">
    <w:name w:val="List Paragraph"/>
    <w:basedOn w:val="Normal"/>
    <w:uiPriority w:val="34"/>
    <w:qFormat/>
    <w:rsid w:val="00F04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02D1"/>
    <w:pPr>
      <w:tabs>
        <w:tab w:val="center" w:pos="4320"/>
        <w:tab w:val="right" w:pos="8640"/>
      </w:tabs>
    </w:pPr>
  </w:style>
  <w:style w:type="character" w:customStyle="1" w:styleId="EncabezadoCar">
    <w:name w:val="Encabezado Car"/>
    <w:basedOn w:val="Fuentedeprrafopredeter"/>
    <w:link w:val="Encabezado"/>
    <w:uiPriority w:val="99"/>
    <w:rsid w:val="00E002D1"/>
    <w:rPr>
      <w:lang w:val="es-ES_tradnl"/>
    </w:rPr>
  </w:style>
  <w:style w:type="paragraph" w:styleId="Piedepgina">
    <w:name w:val="footer"/>
    <w:basedOn w:val="Normal"/>
    <w:link w:val="PiedepginaCar"/>
    <w:uiPriority w:val="99"/>
    <w:unhideWhenUsed/>
    <w:rsid w:val="00E002D1"/>
    <w:pPr>
      <w:tabs>
        <w:tab w:val="center" w:pos="4320"/>
        <w:tab w:val="right" w:pos="8640"/>
      </w:tabs>
    </w:pPr>
  </w:style>
  <w:style w:type="character" w:customStyle="1" w:styleId="PiedepginaCar">
    <w:name w:val="Pie de página Car"/>
    <w:basedOn w:val="Fuentedeprrafopredeter"/>
    <w:link w:val="Piedepgina"/>
    <w:uiPriority w:val="99"/>
    <w:rsid w:val="00E002D1"/>
    <w:rPr>
      <w:lang w:val="es-ES_tradnl"/>
    </w:rPr>
  </w:style>
  <w:style w:type="paragraph" w:styleId="Textodeglobo">
    <w:name w:val="Balloon Text"/>
    <w:basedOn w:val="Normal"/>
    <w:link w:val="TextodegloboCar"/>
    <w:uiPriority w:val="99"/>
    <w:semiHidden/>
    <w:unhideWhenUsed/>
    <w:rsid w:val="00E002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02D1"/>
    <w:rPr>
      <w:rFonts w:ascii="Lucida Grande" w:hAnsi="Lucida Grande" w:cs="Lucida Grande"/>
      <w:sz w:val="18"/>
      <w:szCs w:val="18"/>
      <w:lang w:val="es-ES_tradnl"/>
    </w:rPr>
  </w:style>
  <w:style w:type="paragraph" w:styleId="Sinespaciado">
    <w:name w:val="No Spacing"/>
    <w:uiPriority w:val="1"/>
    <w:qFormat/>
    <w:rsid w:val="007917C9"/>
    <w:rPr>
      <w:rFonts w:ascii="Calibri" w:eastAsia="Calibri" w:hAnsi="Calibri" w:cs="Times New Roman"/>
      <w:sz w:val="22"/>
      <w:szCs w:val="22"/>
      <w:lang w:val="es-MX"/>
    </w:rPr>
  </w:style>
  <w:style w:type="character" w:styleId="Hipervnculo">
    <w:name w:val="Hyperlink"/>
    <w:basedOn w:val="Fuentedeprrafopredeter"/>
    <w:uiPriority w:val="99"/>
    <w:unhideWhenUsed/>
    <w:rsid w:val="000E1D95"/>
    <w:rPr>
      <w:color w:val="0000FF" w:themeColor="hyperlink"/>
      <w:u w:val="single"/>
    </w:rPr>
  </w:style>
  <w:style w:type="paragraph" w:styleId="Prrafodelista">
    <w:name w:val="List Paragraph"/>
    <w:basedOn w:val="Normal"/>
    <w:uiPriority w:val="34"/>
    <w:qFormat/>
    <w:rsid w:val="00F04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1235</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Socorro Elena Machuca Barraza</cp:lastModifiedBy>
  <cp:revision>3</cp:revision>
  <cp:lastPrinted>2015-04-21T19:06:00Z</cp:lastPrinted>
  <dcterms:created xsi:type="dcterms:W3CDTF">2015-05-06T19:56:00Z</dcterms:created>
  <dcterms:modified xsi:type="dcterms:W3CDTF">2015-05-06T21:49:00Z</dcterms:modified>
</cp:coreProperties>
</file>